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right"/>
        <w:rPr>
          <w:rFonts w:ascii="Times New Roman" w:hAnsi="Times New Roman" w:cs="Times New Roman"/>
          <w:sz w:val="20"/>
          <w:szCs w:val="20"/>
        </w:rPr>
      </w:pPr>
      <w:r>
        <w:rPr>
          <w:rFonts w:cs="Times New Roman" w:ascii="Times New Roman" w:hAnsi="Times New Roman"/>
          <w:sz w:val="20"/>
          <w:szCs w:val="20"/>
        </w:rPr>
        <w:t>Załącznik Nr 2 do Zarządzenia nr 264/22 Wójta Gminy Nowa Ruda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right"/>
        <w:rPr>
          <w:rFonts w:ascii="Times New Roman" w:hAnsi="Times New Roman" w:cs="Times New Roman"/>
          <w:sz w:val="20"/>
          <w:szCs w:val="20"/>
        </w:rPr>
      </w:pPr>
      <w:r>
        <w:rPr>
          <w:rFonts w:cs="Times New Roman" w:ascii="Times New Roman" w:hAnsi="Times New Roman"/>
          <w:sz w:val="20"/>
          <w:szCs w:val="20"/>
        </w:rPr>
        <w:t>z dnia 30 czerwca 2022 roku</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center"/>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center"/>
        <w:rPr>
          <w:rFonts w:ascii="Times New Roman" w:hAnsi="Times New Roman" w:cs="Times New Roman"/>
          <w:b/>
          <w:b/>
          <w:bCs/>
          <w:sz w:val="24"/>
          <w:szCs w:val="24"/>
        </w:rPr>
      </w:pPr>
      <w:r>
        <w:rPr>
          <w:rFonts w:cs="Times New Roman" w:ascii="Times New Roman" w:hAnsi="Times New Roman"/>
          <w:b/>
          <w:bCs/>
          <w:sz w:val="24"/>
          <w:szCs w:val="24"/>
        </w:rPr>
        <w:t>Objaśnienia do Wieloletniej Prognozy Finansowej</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center"/>
        <w:rPr>
          <w:rFonts w:ascii="Times New Roman" w:hAnsi="Times New Roman" w:cs="Times New Roman"/>
          <w:b/>
          <w:b/>
          <w:bCs/>
          <w:sz w:val="20"/>
          <w:szCs w:val="20"/>
        </w:rPr>
      </w:pPr>
      <w:r>
        <w:rPr>
          <w:rFonts w:cs="Times New Roman" w:ascii="Times New Roman" w:hAnsi="Times New Roman"/>
          <w:b/>
          <w:bCs/>
          <w:sz w:val="24"/>
          <w:szCs w:val="24"/>
        </w:rPr>
        <w:t>Gminy Nowa Ruda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Ustawa z dnia 27 sierpnia 2009 roku o finansach publicznych wprowadziła obowiązek opracowania Wieloletniej Prognozy Finansowej jednostek samorządu terytorialnego. Wieloletnia Prognoza Finansowa sporządzona jest na okres, na który zaciągnięto lub zamierza się zaciągnąć zobowiązania. Tak długa prognoza finansowa dla Gminy Nowa Ruda wynika ze spłaty pożyczek oraz wykupu  emisji obligacji  komunalnych. Wysokość planowanych zobowiązań, nie stanowi zagrożenia w  spełnieniu zasady zawartej w art. 243 ustawy o finansach publicznych</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 celów opracowania prognozy na rok 2022 przeprowadzono analizę dochodów i wydatków w latach 2019-2021.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Przy opracowywaniu Wieloletniej Prognozy Finansowej Gminy Nowa Ruda wzięto pod uwagę dane historyczne oraz prognozy wskaźnika PKB określonych w dokumencie przygotowanym przez Ministra Finansów pn.: „Wytyczne dotyczące stosowania jednolitych wskaźników makroekonomicznych będących podstawą oszacowania skutków finansowych projektowanych ustaw.  Aktualizacja – sierpień 2021 r.”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Jednym z wyznaczników prognozy wysokości dochodów bieżących na lata 2021-2030 był wskaźnik wzrostu PKB, a wydatków bieżących był wskaźnik cen towarów i usług konsumpcyjnych CPI:</w:t>
      </w:r>
    </w:p>
    <w:tbl>
      <w:tblPr>
        <w:tblW w:w="7655"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133"/>
        <w:gridCol w:w="710"/>
        <w:gridCol w:w="707"/>
        <w:gridCol w:w="851"/>
        <w:gridCol w:w="709"/>
        <w:gridCol w:w="708"/>
        <w:gridCol w:w="709"/>
        <w:gridCol w:w="710"/>
        <w:gridCol w:w="709"/>
        <w:gridCol w:w="708"/>
      </w:tblGrid>
      <w:tr>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Wyszczególnienie</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i/>
                <w:i/>
                <w:iCs/>
                <w:sz w:val="20"/>
                <w:szCs w:val="20"/>
              </w:rPr>
            </w:pPr>
            <w:r>
              <w:rPr>
                <w:rFonts w:cs="Times New Roman" w:ascii="Times New Roman" w:hAnsi="Times New Roman"/>
                <w:sz w:val="20"/>
                <w:szCs w:val="20"/>
              </w:rPr>
              <w:t>(</w:t>
            </w:r>
            <w:r>
              <w:rPr>
                <w:rFonts w:cs="Times New Roman" w:ascii="Times New Roman" w:hAnsi="Times New Roman"/>
                <w:i/>
                <w:iCs/>
                <w:sz w:val="20"/>
                <w:szCs w:val="20"/>
              </w:rPr>
              <w:t>prognoza)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2022</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2023</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2024</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2026</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2027</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2028</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2029</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2030</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Wskaźnik PKB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103,0</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102,7</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102,3</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103,4</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103,3</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103,1</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102,9</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Wskaźnik CPI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103,3</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103,0</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102,7</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center"/>
              <w:rPr>
                <w:rFonts w:ascii="Times New Roman" w:hAnsi="Times New Roman" w:cs="Times New Roman"/>
                <w:sz w:val="20"/>
                <w:szCs w:val="20"/>
              </w:rPr>
            </w:pPr>
            <w:r>
              <w:rPr>
                <w:rFonts w:cs="Times New Roman" w:ascii="Times New Roman" w:hAnsi="Times New Roman"/>
                <w:sz w:val="20"/>
                <w:szCs w:val="20"/>
              </w:rPr>
              <w:t>102,5</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Niemniej jednak przy prognozowaniu wielkości dochodów i wydatków wzięto pod uwagę inne czynniki mające wpływ na poziom szacowanych kwot, takie jak: sytuacja gospodarcza regionu, tendencja spadkowa w zakresie przyrostu naturalnego oraz zmniejszająca się ludność zamieszkująca teren gminy a także zmienne warunki na rynku paliw i energii.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Wieloletnia Prognoza Finansowa zawiera 3 załączniki.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Załącznik Nr 1 Wieloletniej Prognozy Finansowej przedstawia dane finansowe zawierające informację o kształtowaniu się najważniejszych składowych budżetu (dochody, wydatki, rozchody i przychody), jak również informacje o wysokości zadłużenia gminy.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Przedstawione wartości za lata 2015-2020 wynikają z realizacji budżetu. Wartość roku 2021 stanowi plan na III kwartał 2021 roku.</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t>DOCHODY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Dochody ogółem wyniosły w poszczególnych latach:</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38 876 085,42 zł i były one większe o 7,00 %. w stosunku do roku 2014</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43 483 239,77 zł i były one większe 11,85% w stosunku do roku 2015,</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52 803 159,95 zł i były one większe 21,43% w stosunku do roku 2016</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59 558 768,33 zł i  były one większe 12,79% w stosunku do roku 2017</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61 852 075,86 zł – i  były one większe 3,86% w stosunku do roku 2018</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62 978 173,30 zł – i  były one większe 1,44% w stosunku do roku 2019</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2021 – 80 335 687,52 zł – i  były one większe 27,56% w stosunku do roku 2020</w:t>
      </w:r>
    </w:p>
    <w:p>
      <w:pPr>
        <w:pStyle w:val="Normal"/>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36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360" w:hanging="0"/>
        <w:rPr>
          <w:rFonts w:ascii="Times New Roman" w:hAnsi="Times New Roman" w:cs="Times New Roman"/>
          <w:sz w:val="20"/>
          <w:szCs w:val="20"/>
        </w:rPr>
      </w:pPr>
      <w:r>
        <w:rPr>
          <w:rFonts w:cs="Times New Roman" w:ascii="Times New Roman" w:hAnsi="Times New Roman"/>
          <w:sz w:val="20"/>
          <w:szCs w:val="20"/>
        </w:rPr>
        <w:t>W ramach dochodów ogółem, dochody bieżące wyniosły w poszczególnych latach:</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35 092 804,09 zł  o 2,51 % więcej niż w 2014 r.</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40 937 982,60 zł – i były większe o 11,66 zł niż w roku 2015 r,</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44 697 603,95 zł i były one większe 9,18 % w stosunku do roku 2016</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46 572 482,90 zł i  były one większe 4,19% w stosunku do roku 2017</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50 622 352,30 zł – i  były one większe 8,70% w stosunku do roku 2018</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54 070 350,95 zł- i  były one większe 6,34% w stosunku do roku 2019</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2021 – 59 189 824,60 zł – i  były one większe 9,47% w stosunku do roku 2020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Dochody majątkowe w poszczególnych latach wyniosły:</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2015 – 3 783 281,33 zł –80,35% więcej niż w roku 2014, w tym ze sprzedaży majątku  kwotę      </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900 028,00 zł.</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2016 – 2 545 257,17 zł – 32,71% mniej niż w roku 2015, w tym ze sprzedaży majątku  kwotę      </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760 084,75 zł.</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2017 – 8 105 556,00 zł, 318,46% więcej niż w roku 2015, w tym ze sprzedaży majątku kwotę </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ab/>
        <w:t>901 530,45 zł</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12 986 285,43 zł i  były one większe 60,21 % w stosunku do roku 2017</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11 229 723,56 zł –  i były one mniejsze 13,52% w stosunku do roku 2018</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8 907 822,35 zł - i były one mniejsze 20,67% w stosunku do roku 2019</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2021 – 21 145 862,92 zł – i  były one większe o 237,39 % w stosunku do roku 2020</w:t>
      </w:r>
    </w:p>
    <w:p>
      <w:pPr>
        <w:pStyle w:val="Normal"/>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Wieloletniej Prognozie Finansowej na 2022 rok przedstawiono dane liczbowe, które zawiera szczegółowo uchwała budżetowa na rok 2022.</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Dochody ogółem zaplanowano w wysokości </w:t>
      </w:r>
      <w:r>
        <w:rPr>
          <w:rFonts w:cs="Times New Roman" w:ascii="Times New Roman" w:hAnsi="Times New Roman"/>
          <w:b/>
          <w:bCs/>
          <w:sz w:val="20"/>
          <w:szCs w:val="20"/>
        </w:rPr>
        <w:t>68 846 492,05 zł</w:t>
      </w:r>
      <w:r>
        <w:rPr>
          <w:rFonts w:cs="Times New Roman" w:ascii="Times New Roman" w:hAnsi="Times New Roman"/>
          <w:sz w:val="20"/>
          <w:szCs w:val="20"/>
        </w:rPr>
        <w:t xml:space="preserve">. Dochody bieżące zaplanowano w kwocie </w:t>
      </w:r>
      <w:r>
        <w:rPr>
          <w:rFonts w:cs="Times New Roman" w:ascii="Times New Roman" w:hAnsi="Times New Roman"/>
          <w:b/>
          <w:bCs/>
          <w:sz w:val="20"/>
          <w:szCs w:val="20"/>
        </w:rPr>
        <w:t>54 463 199,57</w:t>
      </w:r>
      <w:r>
        <w:rPr>
          <w:rFonts w:cs="Times New Roman" w:ascii="Times New Roman" w:hAnsi="Times New Roman"/>
          <w:sz w:val="20"/>
          <w:szCs w:val="20"/>
        </w:rPr>
        <w:t xml:space="preserve"> </w:t>
      </w:r>
      <w:r>
        <w:rPr>
          <w:rFonts w:cs="Times New Roman" w:ascii="Times New Roman" w:hAnsi="Times New Roman"/>
          <w:b/>
          <w:bCs/>
          <w:sz w:val="20"/>
          <w:szCs w:val="20"/>
        </w:rPr>
        <w:t>zł</w:t>
      </w:r>
      <w:r>
        <w:rPr>
          <w:rFonts w:cs="Times New Roman" w:ascii="Times New Roman" w:hAnsi="Times New Roman"/>
          <w:sz w:val="20"/>
          <w:szCs w:val="20"/>
        </w:rPr>
        <w:t xml:space="preserve">, dochody majątkowe w kwocie </w:t>
      </w:r>
      <w:r>
        <w:rPr>
          <w:rFonts w:cs="Times New Roman" w:ascii="Times New Roman" w:hAnsi="Times New Roman"/>
          <w:b/>
          <w:bCs/>
          <w:sz w:val="20"/>
          <w:szCs w:val="20"/>
        </w:rPr>
        <w:t>14 383 292,48 zł</w:t>
      </w:r>
      <w:r>
        <w:rPr>
          <w:rFonts w:cs="Times New Roman" w:ascii="Times New Roman" w:hAnsi="Times New Roman"/>
          <w:sz w:val="20"/>
          <w:szCs w:val="20"/>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Dochody bieżące planujemy na wyższym poziomie niż w roku 2021. Zaplanowane wielkości z tytułu udziałów w podatku dochodowym od osób fizycznych oraz prawnych zaplanowano zgodnie z informacją przekazaną pismem ST3.4750.31.2021 przez Ministra Finansów.</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Na dochody majątkowe składają się :</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dochody ze sprzedaży majątku – kwota  2 293 967,00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środki pozyskane w ramach Funduszu Polski Ład – Fundusz Inwestycji Strategicznych – kwota      4 591 000,80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dofinansowanie inwestycji ze środków UE – kwota 2 711 704,12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UM na finansowanie ochrony, rekultywacji i poprawy jakości gruntów rolnych - kwota 626 796,00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Rzadowego Funduszu Rozwoju Dróg - kwota 2 162 798,80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Funduszu Rozwoju Kultury Fizycznej – kwota  1 120 030,00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Nadleśnictwa Jugów – 250 000,00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w ramach konkursu „Dolnośląski Fundusz Pomocy Rozwojowej 2022” – 150 000,00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środki z Funduszu Dopłat z BGK – kwota 359 717,76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zwrot wydatków majątkowych w ramach zrealizowanego Funduszu Sołeckiego – 109 278,00 zł.</w:t>
      </w:r>
    </w:p>
    <w:p>
      <w:pPr>
        <w:pStyle w:val="Normal"/>
        <w:numPr>
          <w:ilvl w:val="0"/>
          <w:numId w:val="3"/>
        </w:numPr>
        <w:tabs>
          <w:tab w:val="clear" w:pos="708"/>
          <w:tab w:val="left" w:pos="10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dotacja z DUW na projekt "Pod Biało-czerwoną" - kwopta 8 000,00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prognozie dochodów na lata 2022-2030 w dochodach ogółem zaplanowano wzrost, który uwzględnia wpływ wskaźników makroekonomicznych.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Wzrost oczekiwanych wpływów ze sprzedaży mienia komunalnego wynika z przygotowania do sprzedaży Europejskiego Domu Spotkań Młodzieży w Sokolcu wraz z gruntem i działkami przyległymi (kwota stanowi wartość wyceny nieruchomości wykonanej w 2021 roku). Planowana sprzedaż w roku 2021 nie doszła do skutku. Dlatego też przy opracowywaniu planu kierowano się – podobnie jak w roku poprzednim - stopniem przygotowanej dokumentacji umożliwiającej dokonanie operacji.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Dochody majątkowe z tego tytułu w kolejnych latach zaplanowano na niższym poziomie. Dochody ze sprzedaży mienia gminnego będą coraz mniejsze pomimo, że gmina posiada do zbycia grunty rolne i nieruchomości, to nie zawsze jest zainteresowanie ze strony kupujących.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Przede wszystkim </w:t>
      </w:r>
      <w:r>
        <w:rPr>
          <w:rFonts w:cs="Times New Roman" w:ascii="Times New Roman" w:hAnsi="Times New Roman"/>
          <w:b/>
          <w:bCs/>
          <w:sz w:val="20"/>
          <w:szCs w:val="20"/>
          <w:u w:val="single"/>
        </w:rPr>
        <w:t>w roku 2023 ujęto wartości</w:t>
      </w:r>
      <w:r>
        <w:rPr>
          <w:rFonts w:cs="Times New Roman" w:ascii="Times New Roman" w:hAnsi="Times New Roman"/>
          <w:sz w:val="20"/>
          <w:szCs w:val="20"/>
        </w:rPr>
        <w:t xml:space="preserve"> wynikające z rozliczenia środków w ramach promesy Rządowego Funduszu Inwestycji Strategicznych Polski Ład : </w:t>
      </w:r>
    </w:p>
    <w:p>
      <w:pPr>
        <w:pStyle w:val="Normal"/>
        <w:numPr>
          <w:ilvl w:val="0"/>
          <w:numId w:val="4"/>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w ramach rozliczenia zadań z I promesy kwota 2 608 269,20 zł na zadanie „Budowa przedszkola w Bożkowie”, 1 597 730,00 zł na zadania drogowe, budowę boksów na odpady w budynkach komunalnych, budowę boiska sportowego w Czerwieńczycach oraz budowę budynku sali wiejskiej w Bożkowie (Koszyn);</w:t>
      </w:r>
    </w:p>
    <w:p>
      <w:pPr>
        <w:pStyle w:val="Normal"/>
        <w:numPr>
          <w:ilvl w:val="0"/>
          <w:numId w:val="4"/>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w ramach zadań realizowanych w ramach środków UE : projekty PL-Cz : budowa punktu turystycznego we wsi Dworki oraz termomodernizacja Sali wiejskiej w Świerkach : kwota 262 751,00 zł.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tym okresie planujemy rozliczenie końcowe i odzyskanie kwot wydatków kwalifikowanych w ramach realizowanych zadań inwestycyjnych współfinansowanych w ramach środków UE. Ma to związek z planowaną realizacją harmonogramu wpływów dokonywanych z rozliczeń środków otrzymanych na realizację zadań w ramach instrumentu Zintegrowane Inwestycje Terytorialne – ZIT Aglomeracji Wałbrzyskiej RPO WD ( 85% wartości zadania pomniejszone o uzyskane w latach wcześniejszych zaliczkowanie) oraz w ramach Programu Rozwoju Obszarów Wiejskich 2014-2020.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prognozie ujęto planowane środki z dofinansowania realizowanych projektów w ramach UE.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Po stronie dochodów przyjęto kwoty wynikające z realizowanych projektów współfinansowanych w ramach środków UE w wysokości </w:t>
      </w:r>
      <w:r>
        <w:rPr>
          <w:rFonts w:cs="Times New Roman" w:ascii="Times New Roman" w:hAnsi="Times New Roman"/>
          <w:b/>
          <w:bCs/>
          <w:sz w:val="20"/>
          <w:szCs w:val="20"/>
        </w:rPr>
        <w:t>2 711 704,12 zł</w:t>
      </w:r>
      <w:r>
        <w:rPr>
          <w:rFonts w:cs="Times New Roman" w:ascii="Times New Roman" w:hAnsi="Times New Roman"/>
          <w:sz w:val="20"/>
          <w:szCs w:val="20"/>
        </w:rPr>
        <w:t>. Jest to planowana refundacja poniesionych wydatków majątkowych oraz zatwierdzonych do realizacji projektów:</w:t>
      </w:r>
    </w:p>
    <w:p>
      <w:pPr>
        <w:pStyle w:val="Normal"/>
        <w:numPr>
          <w:ilvl w:val="0"/>
          <w:numId w:val="5"/>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Budowa przydomowych oczyszczalni ścieków” – realizowanego w ramach PROW 2014-2020 – 638 746,00 zł;</w:t>
      </w:r>
    </w:p>
    <w:p>
      <w:pPr>
        <w:pStyle w:val="Normal"/>
        <w:numPr>
          <w:ilvl w:val="0"/>
          <w:numId w:val="5"/>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zakup samochodu strażackiego wraz z osprzętem w ramach Interreg V-A Republika Czeska-Polska – kwota 963 759,00 zł; zadanie już zrealizowane w roku 2021;</w:t>
      </w:r>
    </w:p>
    <w:p>
      <w:pPr>
        <w:pStyle w:val="Normal"/>
        <w:numPr>
          <w:ilvl w:val="0"/>
          <w:numId w:val="5"/>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rozliczenie inwestycji „Budowa i wyposażenie przedszkola z oddziałami integracyjnymi w Bożkowie” - realizowanego w ramach Zintegrowanych Inwestycji Terytorialnych Aglomeracji Wałbrzyskiej - kwota 806 178,00 zł</w:t>
      </w:r>
    </w:p>
    <w:p>
      <w:pPr>
        <w:pStyle w:val="Normal"/>
        <w:numPr>
          <w:ilvl w:val="0"/>
          <w:numId w:val="5"/>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Budowa Klubu Seniora w Jugowie” – kwota 303 021,12 zł;</w:t>
      </w:r>
    </w:p>
    <w:p>
      <w:pPr>
        <w:pStyle w:val="Normal"/>
        <w:tabs>
          <w:tab w:val="clear" w:pos="708"/>
          <w:tab w:val="left" w:pos="71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14" w:hanging="357"/>
        <w:rPr>
          <w:rFonts w:ascii="Times New Roman" w:hAnsi="Times New Roman" w:cs="Times New Roman"/>
          <w:sz w:val="20"/>
          <w:szCs w:val="20"/>
        </w:rPr>
      </w:pPr>
      <w:r>
        <w:rPr>
          <w:rFonts w:cs="Times New Roman" w:ascii="Times New Roman" w:hAnsi="Times New Roman"/>
          <w:sz w:val="20"/>
          <w:szCs w:val="20"/>
        </w:rPr>
        <w:t xml:space="preserve">oraz dochodów bieżących w wysokości </w:t>
      </w:r>
      <w:r>
        <w:rPr>
          <w:rFonts w:cs="Times New Roman" w:ascii="Times New Roman" w:hAnsi="Times New Roman"/>
          <w:b/>
          <w:bCs/>
          <w:sz w:val="20"/>
          <w:szCs w:val="20"/>
        </w:rPr>
        <w:t>889 405,00 zł</w:t>
      </w:r>
      <w:r>
        <w:rPr>
          <w:rFonts w:cs="Times New Roman" w:ascii="Times New Roman" w:hAnsi="Times New Roman"/>
          <w:sz w:val="20"/>
          <w:szCs w:val="20"/>
        </w:rPr>
        <w:t xml:space="preserve"> :</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color w:val="FF0000"/>
          <w:sz w:val="20"/>
          <w:szCs w:val="20"/>
        </w:rPr>
      </w:pPr>
      <w:r>
        <w:rPr>
          <w:rFonts w:cs="Times New Roman" w:ascii="Times New Roman" w:hAnsi="Times New Roman"/>
          <w:sz w:val="20"/>
          <w:szCs w:val="20"/>
        </w:rPr>
        <w:t>„</w:t>
      </w:r>
      <w:r>
        <w:rPr>
          <w:rFonts w:cs="Times New Roman" w:ascii="Times New Roman" w:hAnsi="Times New Roman"/>
          <w:sz w:val="20"/>
          <w:szCs w:val="20"/>
        </w:rPr>
        <w:t>Cyfrowa Polska” – realizowanego w ramach w ramach Programu Operacyjnego Polska Cyfrowa na lata 2014-2020 – kwota 343 200,00 zł;</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Program „Cyfrowa Polska - wsparcie dla dzieci z rodzin byłych pracowników PGR- start!” – kwota 216 340,00 zł.</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Razem bezpieczniej” : zakup samochodu strażackiego wraz z osprzętem w ramach Interreg V-A Republika Czeska-Polska – kwota 14 450,00 zł; zadanie już zrealizowane w roku 2021;</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planowanego do realizacji projektu w ramach Interreg V-a Republika Czeska – Polska pod nazwą „"Lubimy się/Mamy se radi” – kwota 75 341,00 zł;</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Aktywny senior” – kwota 54 770,00 zł;</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"Wiem, umiem, potrafię!-wzrost kompetencji kluczowych uczniów/uczennic z 3 szkół prowadzonych przez Gminę Nowa Ruda w latach 2022-2023" – kwota 89 873,00 zł.</w:t>
      </w:r>
    </w:p>
    <w:p>
      <w:pPr>
        <w:pStyle w:val="Normal"/>
        <w:numPr>
          <w:ilvl w:val="0"/>
          <w:numId w:val="6"/>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"Wyposażenie obiektu publicznego -sali wiejskiej w Bożkowie w celu utworzenia miejsca rozwoju społeczności lokalnej" - kwota 95 431,00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roku 2023 wprowadzono do budżetu kwotę dochodów 234 228,00 zł tytułem refundacji ponoszonych kosztów na projekty Pl-Cz realizowane jeszcze w roku 2022 : „Seniorzy z pogranicza”, „30 lat współpracy polsko-czeskiej”, „30 lat razem”, „Strażacy na pograniczu”.</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Planowane dochody wynikają z podpisanych już umów o dofinansowanie oraz kalkulacji złożonych wniosków o dofinansowanie.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t>WYDATKI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Wydatki ogółem wyniosły w poszczególnych latach:</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36 603 906,75 zł i były wyższe o 3,78% niż w roku 2014.</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40 989 591,32 zł i były wyższe o 11,98% niż w roku 2015</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 52 004 678,36 zł i były wyższe o 26,87% niż w roku 2016,</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60 902 816,69 i  były one większe 17,11% w stosunku do roku 2017</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62 231 084,64 – i  były one większe 2,18% w stosunku do roku 2018.</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55 237 821,58 zł - i były one mniejsze 11,24% w stosunku do roku 2019</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2021 – 64 213 949,06 zł – i były one wyższe o 16,25% w stosunku do roku 2020</w:t>
      </w:r>
    </w:p>
    <w:p>
      <w:pPr>
        <w:pStyle w:val="Normal"/>
        <w:tabs>
          <w:tab w:val="left" w:pos="113" w:leader="none"/>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113"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ramach wydatków ogółem wydatki bieżące wyniosły w poszczególnych latach:</w:t>
      </w:r>
    </w:p>
    <w:p>
      <w:pPr>
        <w:pStyle w:val="Normal"/>
        <w:numPr>
          <w:ilvl w:val="0"/>
          <w:numId w:val="2"/>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30 112 346,42 zł., w tym obsługa długu  650 786,15  zł.</w:t>
      </w:r>
    </w:p>
    <w:p>
      <w:pPr>
        <w:pStyle w:val="Normal"/>
        <w:numPr>
          <w:ilvl w:val="0"/>
          <w:numId w:val="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2016 – 35 596 040,56 zł – i były wyższe o 18,21% niż w roku 2015. Znaczny wzrost był związany z realizacją zadań bieżących związanych z programem „500PLUS”,</w:t>
      </w:r>
    </w:p>
    <w:p>
      <w:pPr>
        <w:pStyle w:val="Normal"/>
        <w:numPr>
          <w:ilvl w:val="0"/>
          <w:numId w:val="2"/>
        </w:numPr>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Rok 2017 – 37 920 850,08 zł  i były wyższe o 6,53% niż w roku 2016</w:t>
      </w:r>
    </w:p>
    <w:p>
      <w:pPr>
        <w:pStyle w:val="Normal"/>
        <w:numPr>
          <w:ilvl w:val="0"/>
          <w:numId w:val="15"/>
        </w:numPr>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41 674 692,02 i  były one większe 9,90% w stosunku do roku 2017</w:t>
      </w:r>
    </w:p>
    <w:p>
      <w:pPr>
        <w:pStyle w:val="Normal"/>
        <w:numPr>
          <w:ilvl w:val="0"/>
          <w:numId w:val="16"/>
        </w:numPr>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46 151 192,14 – i  były one większe 10,74 % w stosunku do roku 2018</w:t>
      </w:r>
    </w:p>
    <w:p>
      <w:pPr>
        <w:pStyle w:val="Normal"/>
        <w:numPr>
          <w:ilvl w:val="0"/>
          <w:numId w:val="17"/>
        </w:numPr>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50 077 670,74 zł - i były one większe o 8,51% w stosunku do roku 2019,</w:t>
      </w:r>
    </w:p>
    <w:p>
      <w:pPr>
        <w:pStyle w:val="Normal"/>
        <w:numPr>
          <w:ilvl w:val="0"/>
          <w:numId w:val="18"/>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ind w:left="360" w:firstLine="113"/>
        <w:rPr>
          <w:rFonts w:ascii="Times New Roman" w:hAnsi="Times New Roman" w:cs="Times New Roman"/>
          <w:sz w:val="20"/>
          <w:szCs w:val="20"/>
        </w:rPr>
      </w:pPr>
      <w:r>
        <w:rPr>
          <w:rFonts w:cs="Times New Roman" w:ascii="Times New Roman" w:hAnsi="Times New Roman"/>
          <w:sz w:val="20"/>
          <w:szCs w:val="20"/>
        </w:rPr>
        <w:t>Rok 2021 – 53 668 529,74 zł – i były one wyższe o 10,72% w stosunku do roku 2020</w:t>
      </w:r>
    </w:p>
    <w:p>
      <w:pPr>
        <w:pStyle w:val="Normal"/>
        <w:tabs>
          <w:tab w:val="clear" w:pos="708"/>
          <w:tab w:val="left" w:pos="360" w:leader="none"/>
          <w:tab w:val="left" w:pos="473"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ramach wydatków ogółem wydatki majątkowe wyniosły w poszczególnych latach:</w:t>
      </w:r>
    </w:p>
    <w:p>
      <w:pPr>
        <w:pStyle w:val="Normal"/>
        <w:numPr>
          <w:ilvl w:val="0"/>
          <w:numId w:val="19"/>
        </w:numPr>
        <w:tabs>
          <w:tab w:val="clear" w:pos="708"/>
          <w:tab w:val="left" w:pos="360" w:leader="none"/>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2015 – 6 491 560,33 zł</w:t>
      </w:r>
    </w:p>
    <w:p>
      <w:pPr>
        <w:pStyle w:val="Normal"/>
        <w:numPr>
          <w:ilvl w:val="0"/>
          <w:numId w:val="20"/>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 xml:space="preserve">Rok 2016 – 5 393 550,76 zł </w:t>
      </w:r>
    </w:p>
    <w:p>
      <w:pPr>
        <w:pStyle w:val="Normal"/>
        <w:numPr>
          <w:ilvl w:val="0"/>
          <w:numId w:val="21"/>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2017 -14 083 828,28 zł  i były wyższe o 161,12% niż w roku 2016</w:t>
      </w:r>
    </w:p>
    <w:p>
      <w:pPr>
        <w:pStyle w:val="Normal"/>
        <w:numPr>
          <w:ilvl w:val="0"/>
          <w:numId w:val="22"/>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2018 –  19 228 124,67 i  były one większe 36,53% w stosunku do roku 2017</w:t>
      </w:r>
    </w:p>
    <w:p>
      <w:pPr>
        <w:pStyle w:val="Normal"/>
        <w:numPr>
          <w:ilvl w:val="0"/>
          <w:numId w:val="23"/>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2019 – 16 079 892,50 – i  były one mniejsze o 16,37% w stosunku do roku 2018</w:t>
      </w:r>
    </w:p>
    <w:p>
      <w:pPr>
        <w:pStyle w:val="Normal"/>
        <w:numPr>
          <w:ilvl w:val="0"/>
          <w:numId w:val="24"/>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2020 – 5 160 150,84 zł - i były one mniejsze 67,90% w stosunku do roku 2019</w:t>
      </w:r>
    </w:p>
    <w:p>
      <w:pPr>
        <w:pStyle w:val="Normal"/>
        <w:numPr>
          <w:ilvl w:val="0"/>
          <w:numId w:val="25"/>
        </w:numPr>
        <w:tabs>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cs="Times New Roman"/>
          <w:sz w:val="20"/>
          <w:szCs w:val="20"/>
        </w:rPr>
      </w:pPr>
      <w:r>
        <w:rPr>
          <w:rFonts w:cs="Times New Roman" w:ascii="Times New Roman" w:hAnsi="Times New Roman"/>
          <w:sz w:val="20"/>
          <w:szCs w:val="20"/>
        </w:rPr>
        <w:t>Rok 2021 – 10 545 419,32 zł – i były one wyższe o 104,36 % w stosunku do roku 2020</w:t>
      </w:r>
    </w:p>
    <w:p>
      <w:pPr>
        <w:pStyle w:val="Normal"/>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360" w:leader="none"/>
          <w:tab w:val="left" w:pos="473"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360"/>
        <w:ind w:left="473" w:hanging="0"/>
        <w:rPr>
          <w:rFonts w:ascii="Times New Roman" w:hAnsi="Times New Roman" w:cs="Times New Roman"/>
          <w:sz w:val="20"/>
          <w:szCs w:val="20"/>
        </w:rPr>
      </w:pPr>
      <w:r>
        <w:rPr>
          <w:rFonts w:cs="Times New Roman" w:ascii="Times New Roman" w:hAnsi="Times New Roman"/>
          <w:sz w:val="20"/>
          <w:szCs w:val="20"/>
        </w:rPr>
        <w:t>W ramach wydatków bieżących w Wieloletniej Prognozie Finansowej przedstawiono wydatki na wynagrodzenia i składki od nich naliczone w 2015 roku - kwota 12 131 203,21 zł, spadek o 1,01 % w stosunku do roku 2014.  Wydatki w 2016 roku na wynagrodzenia i składki od nich naliczone to kwota 12 720 921,02 zł, wzrost o 4,86% w stosunku do roku 2015. W roku 2017 wydatki na wynagrodzenia i składki od nich naliczone wyniosły  12 872 917,39 zł - wzrost o 1,19%. W roku 2018 wydatki na wynagrodzenia i składki od nich naliczone wyniosły  14 349 805,93 zł - wzrost o 11,47%. W roku 2019 wydatki na wynagrodzenia i składki od nich naliczone wyniosły 15 376 905,20 zł - wzrost o 7,16%. rok 2020 – wydatki to kwota 17 118 329,22 zł, wzrost o 11,32%. W roku 2021 wydatki na wynagrodzenia i pochodne to 18 112 161,92 zł.</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Na rok 2022 wydatki zaplanowano w wysokości </w:t>
      </w:r>
      <w:r>
        <w:rPr>
          <w:rFonts w:cs="Times New Roman" w:ascii="Times New Roman" w:hAnsi="Times New Roman"/>
          <w:b/>
          <w:bCs/>
          <w:sz w:val="20"/>
          <w:szCs w:val="20"/>
        </w:rPr>
        <w:t>93 495 240,64 zł</w:t>
      </w:r>
      <w:r>
        <w:rPr>
          <w:rFonts w:cs="Times New Roman" w:ascii="Times New Roman" w:hAnsi="Times New Roman"/>
          <w:sz w:val="20"/>
          <w:szCs w:val="20"/>
        </w:rPr>
        <w:t xml:space="preserve">. Na wydatki bieżące zaplanowano kwotę </w:t>
      </w:r>
      <w:r>
        <w:rPr>
          <w:rFonts w:cs="Times New Roman" w:ascii="Times New Roman" w:hAnsi="Times New Roman"/>
          <w:b/>
          <w:bCs/>
          <w:sz w:val="20"/>
          <w:szCs w:val="20"/>
        </w:rPr>
        <w:t>56 701 168,22 zł</w:t>
      </w:r>
      <w:r>
        <w:rPr>
          <w:rFonts w:cs="Times New Roman" w:ascii="Times New Roman" w:hAnsi="Times New Roman"/>
          <w:sz w:val="20"/>
          <w:szCs w:val="20"/>
        </w:rPr>
        <w:t xml:space="preserve">, na obsługę długu </w:t>
      </w:r>
      <w:r>
        <w:rPr>
          <w:rFonts w:cs="Times New Roman" w:ascii="Times New Roman" w:hAnsi="Times New Roman"/>
          <w:b/>
          <w:bCs/>
          <w:sz w:val="20"/>
          <w:szCs w:val="20"/>
        </w:rPr>
        <w:t>707 851,00 zł</w:t>
      </w:r>
      <w:r>
        <w:rPr>
          <w:rFonts w:cs="Times New Roman" w:ascii="Times New Roman" w:hAnsi="Times New Roman"/>
          <w:sz w:val="20"/>
          <w:szCs w:val="20"/>
        </w:rPr>
        <w:t xml:space="preserve">. Na wydatki majątkowe zaplanowano kwotę </w:t>
      </w:r>
      <w:r>
        <w:rPr>
          <w:rFonts w:cs="Times New Roman" w:ascii="Times New Roman" w:hAnsi="Times New Roman"/>
          <w:b/>
          <w:bCs/>
          <w:sz w:val="20"/>
          <w:szCs w:val="20"/>
        </w:rPr>
        <w:t>36 794 072,42  zł</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60"/>
        <w:ind w:left="0" w:hanging="0"/>
        <w:rPr>
          <w:rFonts w:ascii="Times New Roman" w:hAnsi="Times New Roman" w:cs="Times New Roman"/>
          <w:sz w:val="20"/>
          <w:szCs w:val="20"/>
        </w:rPr>
      </w:pPr>
      <w:r>
        <w:rPr>
          <w:rFonts w:cs="Times New Roman" w:ascii="Times New Roman" w:hAnsi="Times New Roman"/>
          <w:sz w:val="20"/>
          <w:szCs w:val="20"/>
        </w:rPr>
        <w:t>Wydatki na wynagrodzenia i składki od nich naliczone na rok 2022 zaplanowano w kwocie 20 432 304,27 zł uwzględniając nagrody jubileuszowe i odprawy emerytalne. Uwzględniono wskaźnik wzrostu wynagrodzeń w państwowej sferze budżetowej , wzrost minimalnego wynagrodzenia za pracę ,wzrost wydatków w związku z obowiązkowym przystąpieniem do Pracowniczych Planów Kapitałowych oraz wzrost wynagrodzeń w jednostkach oświaty od 1 maja 2022 roku (zmiana wynika z realizacji obowiązku podwyżek dla nauczycieli) i pozostałych jednostkach organizacyjnych Gminy Nowa Ruda (inflacja).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Planując wydatki na wynagrodzenia i składki od nich naliczone na lata 2023-2025 przyjęto wykaz planowanych odpraw emerytalnych i nagród jubileuszowych oraz wskaźnik wzrostu wynagrodzeń na poszczególne lata, w szczególności wzrost płac nauczycieli oraz zwiększony poziom inflacji.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b/>
          <w:bCs/>
          <w:sz w:val="20"/>
          <w:szCs w:val="20"/>
        </w:rPr>
        <w:t>W roku 2022 zmienia się instytucja upoważnionej do realizowania spraw związanych ze świadczeniem 500+</w:t>
      </w:r>
      <w:r>
        <w:rPr>
          <w:rFonts w:cs="Times New Roman" w:ascii="Times New Roman" w:hAnsi="Times New Roman"/>
          <w:sz w:val="20"/>
          <w:szCs w:val="20"/>
        </w:rPr>
        <w:t xml:space="preserve">. W myśl zmian podmiotem obsługującym świadczenie nie będzie jak dotychczas wójt, burmistrz lub prezydent miasta, lecz Zakład Ubezpieczeń Społecznych. Zakład będzie nie tylko przyjmował wnioski o przyznanie świadczenia 500+, lecz również będzie przyznawał i wypłacał świadczenia oraz prowadził postępowania w sprawie świadczenia. Stąd też </w:t>
      </w:r>
      <w:r>
        <w:rPr>
          <w:rFonts w:cs="Times New Roman" w:ascii="Times New Roman" w:hAnsi="Times New Roman"/>
          <w:b/>
          <w:bCs/>
          <w:sz w:val="20"/>
          <w:szCs w:val="20"/>
        </w:rPr>
        <w:t>w budżecie na rok 2022 zmniejsza się wartość planowanych wydatków bieżących.</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Wśród wydatków bieżących na projekty lub zadania finansowane z udziałem środków, o których mowa w art. 5 ust. 1 pkt 2 i 3 ustawy planowana kwota 22 081,00 zł stanowi kwotę dotacji dla UM Wałbrzych w ramach umowy partnerskiej na rzecz realizacji projektu pn. "Rozwój Obszaru Funkcjonalnego Aglomeracji Wałbrzyskiej poprzez opracowanie dokumentów strategicznych wspierających integrację 22 jst : strategii ZIT, Programu Gospodarki Niskoemisyjnej i Zintegrowanego Programu Transportu Publicznego".</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okresie objętym Wieloletnią Prognozą Finansową tj. lata 2022-2030 Gmina nie planuje wydatków z tytułu gwarancji i poręczeń.</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b/>
          <w:bCs/>
          <w:sz w:val="20"/>
          <w:szCs w:val="20"/>
        </w:rPr>
        <w:t>W roku 2022</w:t>
      </w:r>
      <w:r>
        <w:rPr>
          <w:rFonts w:cs="Times New Roman" w:ascii="Times New Roman" w:hAnsi="Times New Roman"/>
          <w:sz w:val="20"/>
          <w:szCs w:val="20"/>
        </w:rPr>
        <w:t xml:space="preserve"> planuje się </w:t>
      </w:r>
      <w:r>
        <w:rPr>
          <w:rFonts w:cs="Times New Roman" w:ascii="Times New Roman" w:hAnsi="Times New Roman"/>
          <w:b/>
          <w:bCs/>
          <w:sz w:val="20"/>
          <w:szCs w:val="20"/>
        </w:rPr>
        <w:t>przychody</w:t>
      </w:r>
      <w:r>
        <w:rPr>
          <w:rFonts w:cs="Times New Roman" w:ascii="Times New Roman" w:hAnsi="Times New Roman"/>
          <w:sz w:val="20"/>
          <w:szCs w:val="20"/>
        </w:rPr>
        <w:t xml:space="preserve"> w wysokości </w:t>
      </w:r>
      <w:r>
        <w:rPr>
          <w:rFonts w:cs="Times New Roman" w:ascii="Times New Roman" w:hAnsi="Times New Roman"/>
          <w:b/>
          <w:bCs/>
          <w:sz w:val="20"/>
          <w:szCs w:val="20"/>
        </w:rPr>
        <w:t xml:space="preserve">6 000 000,00 zł </w:t>
      </w:r>
      <w:r>
        <w:rPr>
          <w:rFonts w:cs="Times New Roman" w:ascii="Times New Roman" w:hAnsi="Times New Roman"/>
          <w:sz w:val="20"/>
          <w:szCs w:val="20"/>
        </w:rPr>
        <w:t>z tytułu emisji obligacji :</w:t>
      </w:r>
    </w:p>
    <w:p>
      <w:pPr>
        <w:pStyle w:val="Normal"/>
        <w:numPr>
          <w:ilvl w:val="0"/>
          <w:numId w:val="26"/>
        </w:numPr>
        <w:tabs>
          <w:tab w:val="clear" w:pos="708"/>
          <w:tab w:val="left" w:pos="717"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717" w:hanging="360"/>
        <w:rPr>
          <w:rFonts w:ascii="Times New Roman" w:hAnsi="Times New Roman" w:cs="Times New Roman"/>
          <w:sz w:val="20"/>
          <w:szCs w:val="20"/>
        </w:rPr>
      </w:pPr>
      <w:r>
        <w:rPr>
          <w:rFonts w:cs="Times New Roman" w:ascii="Times New Roman" w:hAnsi="Times New Roman"/>
          <w:sz w:val="20"/>
          <w:szCs w:val="20"/>
        </w:rPr>
        <w:t xml:space="preserve">na pokrycie planowanego deficytu budżetowego do kwoty </w:t>
      </w:r>
      <w:r>
        <w:rPr>
          <w:rFonts w:cs="Times New Roman" w:ascii="Times New Roman" w:hAnsi="Times New Roman"/>
          <w:b/>
          <w:bCs/>
          <w:sz w:val="20"/>
          <w:szCs w:val="20"/>
        </w:rPr>
        <w:t xml:space="preserve"> 3 986 017,08 zł</w:t>
      </w:r>
      <w:r>
        <w:rPr>
          <w:rFonts w:cs="Times New Roman" w:ascii="Times New Roman" w:hAnsi="Times New Roman"/>
          <w:sz w:val="20"/>
          <w:szCs w:val="20"/>
        </w:rPr>
        <w:t xml:space="preserve"> w roku 2022,</w:t>
      </w:r>
    </w:p>
    <w:p>
      <w:pPr>
        <w:pStyle w:val="Normal"/>
        <w:numPr>
          <w:ilvl w:val="0"/>
          <w:numId w:val="9"/>
        </w:numPr>
        <w:tabs>
          <w:tab w:val="clear" w:pos="708"/>
          <w:tab w:val="left" w:pos="717"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rPr>
          <w:rFonts w:ascii="Times New Roman" w:hAnsi="Times New Roman" w:cs="Times New Roman"/>
          <w:b/>
          <w:b/>
          <w:bCs/>
          <w:sz w:val="20"/>
          <w:szCs w:val="20"/>
        </w:rPr>
      </w:pPr>
      <w:r>
        <w:rPr>
          <w:rFonts w:cs="Times New Roman" w:ascii="Times New Roman" w:hAnsi="Times New Roman"/>
          <w:sz w:val="20"/>
          <w:szCs w:val="20"/>
        </w:rPr>
        <w:t xml:space="preserve">oraz na spłatę wcześniej zaciągniętych zobowiązań z tytułu emisji papierów wartościowych oraz zaciągniętych pożyczek i kredytów w 2022 r. do kwoty </w:t>
      </w:r>
      <w:r>
        <w:rPr>
          <w:rFonts w:cs="Times New Roman" w:ascii="Times New Roman" w:hAnsi="Times New Roman"/>
          <w:b/>
          <w:bCs/>
          <w:sz w:val="20"/>
          <w:szCs w:val="20"/>
        </w:rPr>
        <w:t>2 013 982,92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0" w:hanging="0"/>
        <w:rPr>
          <w:rFonts w:ascii="Times New Roman" w:hAnsi="Times New Roman" w:cs="Times New Roman"/>
          <w:sz w:val="20"/>
          <w:szCs w:val="20"/>
        </w:rPr>
      </w:pPr>
      <w:r>
        <w:rPr>
          <w:rFonts w:cs="Times New Roman" w:ascii="Times New Roman" w:hAnsi="Times New Roman"/>
          <w:sz w:val="20"/>
          <w:szCs w:val="20"/>
        </w:rPr>
        <w:t>Konieczność zabezpieczenia środków wynika z konieczności zabezpieczenia wkładu własnego na planowane do realizacji zadania inwestycyjne w roku 2022.</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60"/>
        <w:ind w:left="0" w:hanging="0"/>
        <w:rPr>
          <w:rFonts w:ascii="Times New Roman" w:hAnsi="Times New Roman" w:cs="Times New Roman"/>
          <w:sz w:val="20"/>
          <w:szCs w:val="20"/>
        </w:rPr>
      </w:pPr>
      <w:r>
        <w:rPr>
          <w:rFonts w:cs="Times New Roman" w:ascii="Times New Roman" w:hAnsi="Times New Roman"/>
          <w:b/>
          <w:bCs/>
          <w:sz w:val="20"/>
          <w:szCs w:val="20"/>
        </w:rPr>
        <w:t>Oprócz emisji obligacji w roku 2022</w:t>
      </w:r>
      <w:r>
        <w:rPr>
          <w:rFonts w:cs="Times New Roman" w:ascii="Times New Roman" w:hAnsi="Times New Roman"/>
          <w:sz w:val="20"/>
          <w:szCs w:val="20"/>
        </w:rPr>
        <w:t xml:space="preserve"> planuje się również </w:t>
      </w:r>
      <w:r>
        <w:rPr>
          <w:rFonts w:cs="Times New Roman" w:ascii="Times New Roman" w:hAnsi="Times New Roman"/>
          <w:b/>
          <w:bCs/>
          <w:sz w:val="20"/>
          <w:szCs w:val="20"/>
        </w:rPr>
        <w:t>przychody w wysokości 18 586 864,76 zł</w:t>
      </w:r>
      <w:r>
        <w:rPr>
          <w:rFonts w:cs="Times New Roman" w:ascii="Times New Roman" w:hAnsi="Times New Roman"/>
          <w:sz w:val="20"/>
          <w:szCs w:val="20"/>
        </w:rPr>
        <w:t xml:space="preserve"> tytułem:</w:t>
      </w:r>
    </w:p>
    <w:p>
      <w:pPr>
        <w:pStyle w:val="Normal"/>
        <w:numPr>
          <w:ilvl w:val="0"/>
          <w:numId w:val="9"/>
        </w:numPr>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1440" w:hanging="360"/>
        <w:jc w:val="left"/>
        <w:rPr>
          <w:rFonts w:ascii="Times New Roman" w:hAnsi="Times New Roman" w:cs="Times New Roman"/>
          <w:sz w:val="20"/>
          <w:szCs w:val="20"/>
        </w:rPr>
      </w:pPr>
      <w:r>
        <w:rPr>
          <w:rFonts w:cs="Times New Roman" w:ascii="Times New Roman" w:hAnsi="Times New Roman"/>
          <w:sz w:val="20"/>
          <w:szCs w:val="20"/>
        </w:rPr>
        <w:t xml:space="preserve">przychodów jednostek samorządu terytorialnego z niewykorzystanych środków pieniężnych na rachunku bieżącym budżetu, wynikających z rozliczenia dochodów i wydatków nimi finansowanych związanych ze szczególnymi zasadami wykonywania budżetu określonymi w odrębnych ustawach  (Fundusz Przeciwdziałania COVID-19)– </w:t>
      </w:r>
      <w:r>
        <w:rPr>
          <w:rFonts w:cs="Times New Roman" w:ascii="Times New Roman" w:hAnsi="Times New Roman"/>
          <w:b/>
          <w:bCs/>
          <w:sz w:val="20"/>
          <w:szCs w:val="20"/>
        </w:rPr>
        <w:t>kwota 11 608 700,86 zł.</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rPr>
          <w:rFonts w:ascii="Times New Roman" w:hAnsi="Times New Roman" w:cs="Times New Roman"/>
          <w:sz w:val="20"/>
          <w:szCs w:val="20"/>
        </w:rPr>
      </w:pPr>
      <w:r>
        <w:rPr>
          <w:rFonts w:cs="Times New Roman" w:ascii="Times New Roman" w:hAnsi="Times New Roman"/>
          <w:sz w:val="20"/>
          <w:szCs w:val="20"/>
        </w:rPr>
        <w:t xml:space="preserve">W ramach </w:t>
      </w:r>
      <w:r>
        <w:rPr>
          <w:rFonts w:cs="Times New Roman" w:ascii="Times New Roman" w:hAnsi="Times New Roman"/>
          <w:b/>
          <w:bCs/>
          <w:sz w:val="20"/>
          <w:szCs w:val="20"/>
        </w:rPr>
        <w:t>Rządowego Funduszu Inwestycji Lokalnych</w:t>
      </w:r>
      <w:r>
        <w:rPr>
          <w:rFonts w:cs="Times New Roman" w:ascii="Times New Roman" w:hAnsi="Times New Roman"/>
          <w:sz w:val="20"/>
          <w:szCs w:val="20"/>
        </w:rPr>
        <w:t xml:space="preserve"> (przeciwdziałania Covid-19) Gmina Nowa Ruda otrzymała </w:t>
      </w:r>
      <w:r>
        <w:rPr>
          <w:rFonts w:cs="Times New Roman" w:ascii="Times New Roman" w:hAnsi="Times New Roman"/>
          <w:b/>
          <w:bCs/>
          <w:sz w:val="20"/>
          <w:szCs w:val="20"/>
        </w:rPr>
        <w:t>w roku 2020</w:t>
      </w:r>
      <w:r>
        <w:rPr>
          <w:rFonts w:cs="Times New Roman" w:ascii="Times New Roman" w:hAnsi="Times New Roman"/>
          <w:sz w:val="20"/>
          <w:szCs w:val="20"/>
        </w:rPr>
        <w:t xml:space="preserve"> środki na uzupełnienie utraconych dochodów własnych z przeznaczeniem na wkład własny realizowanych inwestycji w wysokości 1 115 267,00 zł</w:t>
      </w:r>
      <w:r>
        <w:rPr>
          <w:rFonts w:cs="Times New Roman" w:ascii="Times New Roman" w:hAnsi="Times New Roman"/>
          <w:b/>
          <w:bCs/>
          <w:sz w:val="20"/>
          <w:szCs w:val="20"/>
        </w:rPr>
        <w:t>.</w:t>
      </w:r>
      <w:r>
        <w:rPr>
          <w:rFonts w:cs="Times New Roman" w:ascii="Times New Roman" w:hAnsi="Times New Roman"/>
          <w:sz w:val="20"/>
          <w:szCs w:val="20"/>
        </w:rPr>
        <w:t xml:space="preserve"> Środki te nie zostały wykorzystane w całości i w roku 2022 stanową </w:t>
      </w:r>
      <w:r>
        <w:rPr>
          <w:rFonts w:cs="Times New Roman" w:ascii="Times New Roman" w:hAnsi="Times New Roman"/>
          <w:b/>
          <w:bCs/>
          <w:sz w:val="20"/>
          <w:szCs w:val="20"/>
        </w:rPr>
        <w:t>przychody jednostek samorządu terytorialnego</w:t>
      </w:r>
      <w:r>
        <w:rPr>
          <w:rFonts w:cs="Times New Roman" w:ascii="Times New Roman" w:hAnsi="Times New Roman"/>
          <w:sz w:val="20"/>
          <w:szCs w:val="20"/>
        </w:rPr>
        <w:t xml:space="preserve"> </w:t>
      </w:r>
      <w:r>
        <w:rPr>
          <w:rFonts w:cs="Times New Roman" w:ascii="Times New Roman" w:hAnsi="Times New Roman"/>
          <w:b/>
          <w:bCs/>
          <w:sz w:val="20"/>
          <w:szCs w:val="20"/>
        </w:rPr>
        <w:t>z tytułu niewykorzystanych środków pieniężnych na rachunku bieżącym budżetu – kwota 795 142,09 zł</w:t>
      </w:r>
      <w:r>
        <w:rPr>
          <w:rFonts w:cs="Times New Roman" w:ascii="Times New Roman" w:hAnsi="Times New Roman"/>
          <w:sz w:val="20"/>
          <w:szCs w:val="20"/>
        </w:rPr>
        <w:t>, wynikających z rozliczenia dochodów i wydatków nimi finansowanych związanych ze szczególnymi zasadami wykonywania budżetu określonymi w odrębnych ustawach.</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sz w:val="20"/>
          <w:szCs w:val="20"/>
        </w:rPr>
      </w:pPr>
      <w:r>
        <w:rPr>
          <w:rFonts w:cs="Times New Roman" w:ascii="Times New Roman" w:hAnsi="Times New Roman"/>
          <w:sz w:val="20"/>
          <w:szCs w:val="20"/>
        </w:rPr>
        <w:t xml:space="preserve">Dodatkowo w roku 2020 Gmina Nowa Ruda złożyła wniosek o dofinansowanie planowanej budowy hali gimnastycznej w Ludwikowicach Kłodzkich z Funduszu Inwestycji Lokalnych na kwotę </w:t>
      </w:r>
      <w:r>
        <w:rPr>
          <w:rFonts w:cs="Times New Roman" w:ascii="Times New Roman" w:hAnsi="Times New Roman"/>
          <w:b/>
          <w:bCs/>
          <w:sz w:val="20"/>
          <w:szCs w:val="20"/>
        </w:rPr>
        <w:t>4 317 915,01 zł</w:t>
      </w:r>
      <w:r>
        <w:rPr>
          <w:rFonts w:cs="Times New Roman" w:ascii="Times New Roman" w:hAnsi="Times New Roman"/>
          <w:sz w:val="20"/>
          <w:szCs w:val="20"/>
        </w:rPr>
        <w:t xml:space="preserve">, Środki te zostały przekazane Gminie Nowa Ruda jeszcze </w:t>
      </w:r>
      <w:r>
        <w:rPr>
          <w:rFonts w:cs="Times New Roman" w:ascii="Times New Roman" w:hAnsi="Times New Roman"/>
          <w:b/>
          <w:bCs/>
          <w:sz w:val="20"/>
          <w:szCs w:val="20"/>
        </w:rPr>
        <w:t>w roku 2020</w:t>
      </w:r>
      <w:r>
        <w:rPr>
          <w:rFonts w:cs="Times New Roman" w:ascii="Times New Roman" w:hAnsi="Times New Roman"/>
          <w:sz w:val="20"/>
          <w:szCs w:val="20"/>
        </w:rPr>
        <w:t xml:space="preserve">. Zgodnie z harmonogramem  realizacji zadania w roku 2022 kwota zostanie wykorzystana w całości.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sz w:val="20"/>
          <w:szCs w:val="20"/>
        </w:rPr>
      </w:pPr>
      <w:r>
        <w:rPr>
          <w:rFonts w:cs="Times New Roman" w:ascii="Times New Roman" w:hAnsi="Times New Roman"/>
          <w:sz w:val="20"/>
          <w:szCs w:val="20"/>
        </w:rPr>
        <w:t xml:space="preserve">Trzecim zadaniem planowanym do dofinansowania w ramach Rządowego Funduszu Inwestycji Lokalnych (przeciwdziałania COCID-19) jest zadanie związane z drogami gminnymi. W tym przypadku kwota dofinansowania to </w:t>
      </w:r>
      <w:r>
        <w:rPr>
          <w:rFonts w:cs="Times New Roman" w:ascii="Times New Roman" w:hAnsi="Times New Roman"/>
          <w:b/>
          <w:bCs/>
          <w:sz w:val="20"/>
          <w:szCs w:val="20"/>
        </w:rPr>
        <w:t xml:space="preserve">500 000,00 zł. </w:t>
      </w:r>
      <w:r>
        <w:rPr>
          <w:rFonts w:cs="Times New Roman" w:ascii="Times New Roman" w:hAnsi="Times New Roman"/>
          <w:sz w:val="20"/>
          <w:szCs w:val="20"/>
        </w:rPr>
        <w:t xml:space="preserve">Środki te zostały przekazane </w:t>
      </w:r>
      <w:r>
        <w:rPr>
          <w:rFonts w:cs="Times New Roman" w:ascii="Times New Roman" w:hAnsi="Times New Roman"/>
          <w:b/>
          <w:bCs/>
          <w:sz w:val="20"/>
          <w:szCs w:val="20"/>
        </w:rPr>
        <w:t>w roku 2020</w:t>
      </w:r>
      <w:r>
        <w:rPr>
          <w:rFonts w:cs="Times New Roman" w:ascii="Times New Roman" w:hAnsi="Times New Roman"/>
          <w:sz w:val="20"/>
          <w:szCs w:val="20"/>
        </w:rPr>
        <w:t xml:space="preserve"> i zostaną wykorzystane w roku 2022.</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jc w:val="left"/>
        <w:rPr>
          <w:rFonts w:ascii="Times New Roman" w:hAnsi="Times New Roman" w:cs="Times New Roman"/>
          <w:sz w:val="20"/>
          <w:szCs w:val="20"/>
        </w:rPr>
      </w:pPr>
      <w:r>
        <w:rPr>
          <w:rFonts w:cs="Times New Roman" w:ascii="Times New Roman" w:hAnsi="Times New Roman"/>
          <w:b/>
          <w:bCs/>
          <w:sz w:val="20"/>
          <w:szCs w:val="20"/>
        </w:rPr>
        <w:t>W roku 2021</w:t>
      </w:r>
      <w:r>
        <w:rPr>
          <w:rFonts w:cs="Times New Roman" w:ascii="Times New Roman" w:hAnsi="Times New Roman"/>
          <w:sz w:val="20"/>
          <w:szCs w:val="20"/>
        </w:rPr>
        <w:t xml:space="preserve"> Gmina Nowa Ruda otrzymała środki w wysokości </w:t>
      </w:r>
      <w:r>
        <w:rPr>
          <w:rFonts w:cs="Times New Roman" w:ascii="Times New Roman" w:hAnsi="Times New Roman"/>
          <w:b/>
          <w:bCs/>
          <w:sz w:val="20"/>
          <w:szCs w:val="20"/>
        </w:rPr>
        <w:t>4 795 643,76 zł</w:t>
      </w:r>
      <w:r>
        <w:rPr>
          <w:rFonts w:cs="Times New Roman" w:ascii="Times New Roman" w:hAnsi="Times New Roman"/>
          <w:sz w:val="20"/>
          <w:szCs w:val="20"/>
        </w:rPr>
        <w:t xml:space="preserve"> na zadanie pod nazwą „Zagospodarowanie zbiornika wodnego wraz z budową infrastruktury rekreacyjnej w Dzikowcu” oraz kwotę </w:t>
      </w:r>
      <w:r>
        <w:rPr>
          <w:rFonts w:cs="Times New Roman" w:ascii="Times New Roman" w:hAnsi="Times New Roman"/>
          <w:b/>
          <w:bCs/>
          <w:sz w:val="20"/>
          <w:szCs w:val="20"/>
        </w:rPr>
        <w:t>1 200 000,00 zł</w:t>
      </w:r>
      <w:r>
        <w:rPr>
          <w:rFonts w:cs="Times New Roman" w:ascii="Times New Roman" w:hAnsi="Times New Roman"/>
          <w:sz w:val="20"/>
          <w:szCs w:val="20"/>
        </w:rPr>
        <w:t xml:space="preserve"> na „Budowę i wyposażenie przedszkola z oddziałami integracyjnymi w Bożkowie”. Inwestycje były planowane do realizacji w roku 2021. Niestety – z powodu kłopotów z wyłonieniem wykonawcy dokumentacji w ramach przetargu – zadanie przesunięto do realizacji w roku 2022. Natomiast budowa przedszkola została rozłożona w czasie i będzie realizowana w latach 2022-2023.</w:t>
      </w:r>
    </w:p>
    <w:p>
      <w:pPr>
        <w:pStyle w:val="Normal"/>
        <w:numPr>
          <w:ilvl w:val="2"/>
          <w:numId w:val="9"/>
        </w:numPr>
        <w:tabs>
          <w:tab w:val="clear" w:pos="708"/>
          <w:tab w:val="left" w:pos="714" w:leader="none"/>
          <w:tab w:val="left" w:pos="107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100" w:after="0"/>
        <w:rPr>
          <w:rFonts w:ascii="Times New Roman" w:hAnsi="Times New Roman" w:cs="Times New Roman"/>
          <w:sz w:val="20"/>
          <w:szCs w:val="20"/>
        </w:rPr>
      </w:pPr>
      <w:r>
        <w:rPr>
          <w:rFonts w:cs="Times New Roman" w:ascii="Times New Roman" w:hAnsi="Times New Roman"/>
          <w:b/>
          <w:bCs/>
          <w:sz w:val="20"/>
          <w:szCs w:val="20"/>
        </w:rPr>
        <w:t>przychodami jednostek samorządu terytorialnego z niewykorzystanych środków pieniężnych na rachunku bieżącym budżetu</w:t>
      </w:r>
      <w:r>
        <w:rPr>
          <w:rFonts w:cs="Times New Roman" w:ascii="Times New Roman" w:hAnsi="Times New Roman"/>
          <w:sz w:val="20"/>
          <w:szCs w:val="20"/>
        </w:rPr>
        <w:t xml:space="preserve">, wynikających z rozliczenia dochodów i wydatków wynikających z rozliczenia środków określonych w art. 5 ust. 1 pkt 2 i dotacji na realizację programu, projektu lub zadania finansowanego z udziałem tych środków – </w:t>
      </w:r>
      <w:r>
        <w:rPr>
          <w:rFonts w:cs="Times New Roman" w:ascii="Times New Roman" w:hAnsi="Times New Roman"/>
          <w:b/>
          <w:bCs/>
          <w:sz w:val="20"/>
          <w:szCs w:val="20"/>
        </w:rPr>
        <w:t xml:space="preserve">1 979 155,97 zł; </w:t>
      </w:r>
      <w:r>
        <w:rPr>
          <w:rFonts w:cs="Times New Roman" w:ascii="Times New Roman" w:hAnsi="Times New Roman"/>
          <w:sz w:val="20"/>
          <w:szCs w:val="20"/>
        </w:rPr>
        <w:t>w roku 2021 Gmina Nowa Ruda otrzymała zaliczkę na finansowanie projektu "Wymiana wysokoemisyjnych źródeł ciepła w budynkach i lokalach mieszkalnych na terenie wybranych gmin Aglomeracji Wałbrzyskiej", realizowanego w ramach Regionalnego Programu Operacyjnego Województwa Dolnośląskiego 2014-2020 za pośrednictwem Instytucji Pośredniczącej Aglomeracji Wałbrzyskiej. Kwota przychodu stanowi wartość środków niewykorzystanych w roku 2021;</w:t>
      </w:r>
    </w:p>
    <w:p>
      <w:pPr>
        <w:pStyle w:val="Normal"/>
        <w:numPr>
          <w:ilvl w:val="1"/>
          <w:numId w:val="9"/>
        </w:numPr>
        <w:tabs>
          <w:tab w:val="clear" w:pos="708"/>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100" w:after="0"/>
        <w:jc w:val="left"/>
        <w:rPr>
          <w:rFonts w:ascii="Times New Roman" w:hAnsi="Times New Roman" w:cs="Times New Roman"/>
          <w:b/>
          <w:b/>
          <w:bCs/>
          <w:sz w:val="20"/>
          <w:szCs w:val="20"/>
        </w:rPr>
      </w:pPr>
      <w:r>
        <w:rPr>
          <w:rFonts w:cs="Times New Roman" w:ascii="Times New Roman" w:hAnsi="Times New Roman"/>
          <w:b/>
          <w:bCs/>
          <w:sz w:val="20"/>
          <w:szCs w:val="20"/>
        </w:rPr>
        <w:t>przychodami jednostek samorządu terytorialnego z niewykorzystanych środków pieniężnych na rachunku bieżącym budżetu</w:t>
      </w:r>
      <w:r>
        <w:rPr>
          <w:rFonts w:cs="Times New Roman" w:ascii="Times New Roman" w:hAnsi="Times New Roman"/>
          <w:sz w:val="20"/>
          <w:szCs w:val="20"/>
        </w:rPr>
        <w:t xml:space="preserve">, wynikających z rozliczenia dochodów i wydatków nimi finansowanych związanych ze szczególnymi zasadami wykonywania budżetu określonymi w odrębnych ustawach - </w:t>
      </w:r>
      <w:r>
        <w:rPr>
          <w:rFonts w:cs="Times New Roman" w:ascii="Times New Roman" w:hAnsi="Times New Roman"/>
          <w:b/>
          <w:bCs/>
          <w:sz w:val="20"/>
          <w:szCs w:val="20"/>
        </w:rPr>
        <w:t>PRZECIWDZIAŁANIE ALKOHOLIZMOWI</w:t>
      </w:r>
      <w:r>
        <w:rPr>
          <w:rFonts w:cs="Times New Roman" w:ascii="Times New Roman" w:hAnsi="Times New Roman"/>
          <w:sz w:val="20"/>
          <w:szCs w:val="20"/>
        </w:rPr>
        <w:t xml:space="preserve"> – </w:t>
      </w:r>
      <w:r>
        <w:rPr>
          <w:rFonts w:cs="Times New Roman" w:ascii="Times New Roman" w:hAnsi="Times New Roman"/>
          <w:b/>
          <w:bCs/>
          <w:sz w:val="20"/>
          <w:szCs w:val="20"/>
        </w:rPr>
        <w:t>1 262,15 zł;</w:t>
      </w:r>
    </w:p>
    <w:p>
      <w:pPr>
        <w:pStyle w:val="Normal"/>
        <w:numPr>
          <w:ilvl w:val="0"/>
          <w:numId w:val="27"/>
        </w:numPr>
        <w:tabs>
          <w:tab w:val="clear" w:pos="708"/>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100" w:after="0"/>
        <w:rPr>
          <w:rFonts w:ascii="Times New Roman" w:hAnsi="Times New Roman" w:cs="Times New Roman"/>
          <w:b/>
          <w:b/>
          <w:bCs/>
          <w:sz w:val="20"/>
          <w:szCs w:val="20"/>
        </w:rPr>
      </w:pPr>
      <w:r>
        <w:rPr>
          <w:rFonts w:cs="Times New Roman" w:ascii="Times New Roman" w:hAnsi="Times New Roman"/>
          <w:b/>
          <w:bCs/>
          <w:sz w:val="20"/>
          <w:szCs w:val="20"/>
        </w:rPr>
        <w:t>przychodami jednostek samorządu terytorialnego</w:t>
      </w:r>
      <w:r>
        <w:rPr>
          <w:rFonts w:cs="Times New Roman" w:ascii="Times New Roman" w:hAnsi="Times New Roman"/>
          <w:sz w:val="20"/>
          <w:szCs w:val="20"/>
        </w:rPr>
        <w:t xml:space="preserve"> </w:t>
      </w:r>
      <w:r>
        <w:rPr>
          <w:rFonts w:cs="Times New Roman" w:ascii="Times New Roman" w:hAnsi="Times New Roman"/>
          <w:b/>
          <w:bCs/>
          <w:sz w:val="20"/>
          <w:szCs w:val="20"/>
        </w:rPr>
        <w:t>z tytułu niewykorzystanych środków pieniężnych na rachunku bieżącym budżetu „Laboratoria przyszłości”– kwota 82 573,80 zł</w:t>
      </w:r>
    </w:p>
    <w:p>
      <w:pPr>
        <w:pStyle w:val="Normal"/>
        <w:numPr>
          <w:ilvl w:val="0"/>
          <w:numId w:val="28"/>
        </w:numPr>
        <w:tabs>
          <w:tab w:val="clear" w:pos="708"/>
          <w:tab w:val="left" w:pos="717"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100" w:after="0"/>
        <w:jc w:val="left"/>
        <w:rPr>
          <w:rFonts w:ascii="Times New Roman" w:hAnsi="Times New Roman" w:cs="Times New Roman"/>
          <w:sz w:val="20"/>
          <w:szCs w:val="20"/>
        </w:rPr>
      </w:pPr>
      <w:r>
        <w:rPr>
          <w:rFonts w:cs="Times New Roman" w:ascii="Times New Roman" w:hAnsi="Times New Roman"/>
          <w:b/>
          <w:bCs/>
          <w:sz w:val="20"/>
          <w:szCs w:val="20"/>
        </w:rPr>
        <w:t>nadwyżki budżetu jednostki samorządu terytorialnego z lat ubiegłych</w:t>
      </w:r>
      <w:r>
        <w:rPr>
          <w:rFonts w:cs="Times New Roman" w:ascii="Times New Roman" w:hAnsi="Times New Roman"/>
          <w:sz w:val="20"/>
          <w:szCs w:val="20"/>
        </w:rPr>
        <w:t xml:space="preserve">, o której mowa w art. 217 ust. 2 pkt 5 ustawy o finansach publicznych – kwota </w:t>
      </w:r>
      <w:r>
        <w:rPr>
          <w:rFonts w:cs="Times New Roman" w:ascii="Times New Roman" w:hAnsi="Times New Roman"/>
          <w:b/>
          <w:bCs/>
          <w:sz w:val="20"/>
          <w:szCs w:val="20"/>
        </w:rPr>
        <w:t>6 678 862,98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08" w:hanging="0"/>
        <w:rPr>
          <w:rFonts w:ascii="Times New Roman" w:hAnsi="Times New Roman" w:cs="Times New Roman"/>
          <w:sz w:val="20"/>
          <w:szCs w:val="20"/>
        </w:rPr>
      </w:pPr>
      <w:r>
        <w:rPr>
          <w:rFonts w:cs="Times New Roman" w:ascii="Times New Roman" w:hAnsi="Times New Roman"/>
          <w:sz w:val="20"/>
          <w:szCs w:val="20"/>
        </w:rPr>
        <w:t>Zgodnie z danymi wynikającymi z wykonania budżetu, rok 2021 zamknął się nadwyżką budżetu w wysokości 9 368 528,99 zł, co obrazuje poniższe zestawienie: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drawing>
          <wp:inline distT="0" distB="0" distL="0" distR="0">
            <wp:extent cx="5721350" cy="311150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721350" cy="3111500"/>
                    </a:xfrm>
                    <a:prstGeom prst="rect">
                      <a:avLst/>
                    </a:prstGeom>
                  </pic:spPr>
                </pic:pic>
              </a:graphicData>
            </a:graphic>
          </wp:inline>
        </w:drawing>
      </w:r>
    </w:p>
    <w:p>
      <w:pPr>
        <w:pStyle w:val="Normal"/>
        <w:tabs>
          <w:tab w:val="clear" w:pos="708"/>
          <w:tab w:val="left" w:pos="72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726" w:hanging="357"/>
        <w:rPr>
          <w:rFonts w:ascii="Times New Roman" w:hAnsi="Times New Roman" w:cs="Times New Roman"/>
          <w:sz w:val="20"/>
          <w:szCs w:val="20"/>
        </w:rPr>
      </w:pPr>
      <w:r>
        <w:rPr>
          <w:rFonts w:cs="Times New Roman" w:ascii="Times New Roman" w:hAnsi="Times New Roman"/>
          <w:b/>
          <w:bCs/>
          <w:sz w:val="20"/>
          <w:szCs w:val="20"/>
        </w:rPr>
        <w:t>5) tytułem przychodów w ramach spłat pożyczek udzielanych z budżetu</w:t>
      </w:r>
      <w:r>
        <w:rPr>
          <w:rFonts w:cs="Times New Roman" w:ascii="Times New Roman" w:hAnsi="Times New Roman"/>
          <w:sz w:val="20"/>
          <w:szCs w:val="20"/>
        </w:rPr>
        <w:t xml:space="preserve"> – kwota </w:t>
      </w:r>
      <w:r>
        <w:rPr>
          <w:rFonts w:cs="Times New Roman" w:ascii="Times New Roman" w:hAnsi="Times New Roman"/>
          <w:b/>
          <w:bCs/>
          <w:sz w:val="20"/>
          <w:szCs w:val="20"/>
        </w:rPr>
        <w:t>312 175,75 zł</w:t>
      </w:r>
      <w:r>
        <w:rPr>
          <w:rFonts w:cs="Times New Roman" w:ascii="Times New Roman" w:hAnsi="Times New Roman"/>
          <w:sz w:val="20"/>
          <w:szCs w:val="20"/>
        </w:rPr>
        <w:t xml:space="preserve"> :</w:t>
      </w:r>
    </w:p>
    <w:p>
      <w:pPr>
        <w:pStyle w:val="Normal"/>
        <w:tabs>
          <w:tab w:val="clear" w:pos="708"/>
          <w:tab w:val="left" w:pos="2160"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s>
        <w:spacing w:lineRule="auto" w:line="360" w:before="100" w:after="0"/>
        <w:ind w:left="0" w:hanging="0"/>
        <w:jc w:val="left"/>
        <w:rPr>
          <w:rFonts w:ascii="Times New Roman" w:hAnsi="Times New Roman" w:cs="Times New Roman"/>
          <w:sz w:val="20"/>
          <w:szCs w:val="20"/>
        </w:rPr>
      </w:pPr>
      <w:r>
        <w:rPr>
          <w:rFonts w:cs="Times New Roman" w:ascii="Times New Roman" w:hAnsi="Times New Roman"/>
          <w:sz w:val="20"/>
          <w:szCs w:val="20"/>
        </w:rPr>
        <w:t xml:space="preserve">a) z tytułu spłaty pożyczki udzielonej </w:t>
      </w:r>
      <w:r>
        <w:rPr>
          <w:rFonts w:cs="Times New Roman" w:ascii="Times New Roman" w:hAnsi="Times New Roman"/>
          <w:color w:val="000000"/>
          <w:sz w:val="20"/>
          <w:szCs w:val="20"/>
        </w:rPr>
        <w:t xml:space="preserve">Stowarzyszeniu na Rzecz Dzieci i Młodzieży „Radość” </w:t>
      </w:r>
      <w:r>
        <w:rPr>
          <w:rFonts w:cs="Times New Roman" w:ascii="Times New Roman" w:hAnsi="Times New Roman"/>
          <w:sz w:val="20"/>
          <w:szCs w:val="20"/>
        </w:rPr>
        <w:t xml:space="preserve">na realizację projektu „Budowa Ogólnodostępnej infrastruktury rekreacyjno-turystycznej na terenie Bożkowa” </w:t>
      </w:r>
      <w:r>
        <w:rPr>
          <w:rFonts w:cs="Times New Roman" w:ascii="Times New Roman" w:hAnsi="Times New Roman"/>
          <w:b/>
          <w:bCs/>
          <w:sz w:val="20"/>
          <w:szCs w:val="20"/>
        </w:rPr>
        <w:t xml:space="preserve">finansowanego w ramach poddziałania 19.2 „Wsparcie na wdrażanie operacji w ramach strategii rozwoju lokalnego kierowanego przez społeczność” objętego Programem Rozwoju Obszarów Wiejskich na lata 2014-2020 dla zadań realizowanych w ramach projektu grantowego poprzez Lokalną Grupę Działania Partnerstwo Sowiogórskie </w:t>
      </w:r>
      <w:r>
        <w:rPr>
          <w:rFonts w:cs="Times New Roman" w:ascii="Times New Roman" w:hAnsi="Times New Roman"/>
          <w:sz w:val="20"/>
          <w:szCs w:val="20"/>
        </w:rPr>
        <w:t>– kwota 19 168,00 zł;</w:t>
      </w:r>
    </w:p>
    <w:p>
      <w:pPr>
        <w:pStyle w:val="Normal"/>
        <w:widowControl w:val="false"/>
        <w:tabs>
          <w:tab w:val="clear" w:pos="708"/>
          <w:tab w:val="left" w:pos="2160"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s>
        <w:spacing w:lineRule="auto" w:line="360" w:before="100" w:after="0"/>
        <w:ind w:left="0" w:hanging="0"/>
        <w:jc w:val="left"/>
        <w:rPr>
          <w:rFonts w:ascii="Times New Roman" w:hAnsi="Times New Roman" w:cs="Times New Roman"/>
          <w:sz w:val="20"/>
          <w:szCs w:val="20"/>
        </w:rPr>
      </w:pPr>
      <w:r>
        <w:rPr>
          <w:rFonts w:cs="Times New Roman" w:ascii="Times New Roman" w:hAnsi="Times New Roman"/>
          <w:sz w:val="20"/>
          <w:szCs w:val="20"/>
        </w:rPr>
        <w:t>b) z tytułu spłaty pożyczki</w:t>
      </w:r>
      <w:r>
        <w:rPr>
          <w:rFonts w:cs="Times New Roman" w:ascii="Times New Roman" w:hAnsi="Times New Roman"/>
          <w:b/>
          <w:bCs/>
          <w:sz w:val="20"/>
          <w:szCs w:val="20"/>
        </w:rPr>
        <w:t xml:space="preserve"> </w:t>
      </w:r>
      <w:r>
        <w:rPr>
          <w:rFonts w:cs="Times New Roman" w:ascii="Times New Roman" w:hAnsi="Times New Roman"/>
          <w:sz w:val="20"/>
          <w:szCs w:val="20"/>
        </w:rPr>
        <w:t>udzielonej Centrum Kultury Gminy Nowa Ruda na zadanie pod nazwą "Przebudowa i doposażenie obiektów instytucji kultury w Gminie Nowa Ruda” (</w:t>
      </w:r>
      <w:r>
        <w:rPr>
          <w:rFonts w:cs="Times New Roman" w:ascii="Times New Roman" w:hAnsi="Times New Roman"/>
          <w:b/>
          <w:bCs/>
          <w:sz w:val="20"/>
          <w:szCs w:val="20"/>
        </w:rPr>
        <w:t>projekt nr RPDS.04.03.04-02-0008/19-00</w:t>
      </w:r>
      <w:r>
        <w:rPr>
          <w:rFonts w:cs="Times New Roman" w:ascii="Times New Roman" w:hAnsi="Times New Roman"/>
          <w:sz w:val="20"/>
          <w:szCs w:val="20"/>
        </w:rPr>
        <w:t>)– kwota 293 007,75 zł;</w:t>
      </w:r>
    </w:p>
    <w:p>
      <w:pPr>
        <w:pStyle w:val="Normal"/>
        <w:tabs>
          <w:tab w:val="clear" w:pos="708"/>
          <w:tab w:val="left" w:pos="2160"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s>
        <w:spacing w:lineRule="auto" w:line="360" w:before="100" w:after="0"/>
        <w:ind w:left="0" w:hanging="0"/>
        <w:jc w:val="left"/>
        <w:rPr>
          <w:rFonts w:ascii="Times New Roman" w:hAnsi="Times New Roman" w:cs="Times New Roman"/>
          <w:sz w:val="20"/>
          <w:szCs w:val="20"/>
          <w:u w:val="single"/>
        </w:rPr>
      </w:pPr>
      <w:r>
        <w:rPr>
          <w:rFonts w:cs="Times New Roman" w:ascii="Times New Roman" w:hAnsi="Times New Roman"/>
          <w:b/>
          <w:bCs/>
          <w:sz w:val="20"/>
          <w:szCs w:val="20"/>
        </w:rPr>
        <w:t>Od roku 2023 planowane są nadwyżki, które przeznacza się na spłatę wcześniej zaciągniętego długu</w:t>
      </w:r>
      <w:r>
        <w:rPr>
          <w:rFonts w:cs="Times New Roman" w:ascii="Times New Roman" w:hAnsi="Times New Roman"/>
          <w:sz w:val="20"/>
          <w:szCs w:val="20"/>
        </w:rPr>
        <w:t xml:space="preserve">. Ich prognozowana wielkość wynika z faktu, że w latach następnych w prognozie nie ujmuje się żadnych dodatkowych projektów i zadań bieżących, jak to ma miejsce w roku 2022.  W roku 2021 Gmina  Nowa Ruda otrzymała środki na realizację projektów, takich jak : „Laboratoria przyszłości”, "Wymiana wysokoemisyjnych źródeł ciepła w budynkach i lokalach mieszkalnych na terenie wybranych gmin Aglomeracji Wałbrzyskiej. Są to środki. które wydatkowane w roku 2022, nie będą już obciążać wydatków  bieżących lat przyszłych , natomiast znacznie powiększają budżet roku 2022. Wydatki bieżące w latach 2022-2025 są planowane w odniesieniu tylko i wyłącznie bieżącej działalności jednostek z uwzględnieniem już zaplanowanych w ramach przedsięwzięć zadań wieloletnich. Należy zauważyć, że </w:t>
      </w:r>
      <w:r>
        <w:rPr>
          <w:rFonts w:cs="Times New Roman" w:ascii="Times New Roman" w:hAnsi="Times New Roman"/>
          <w:sz w:val="20"/>
          <w:szCs w:val="20"/>
          <w:u w:val="single"/>
        </w:rPr>
        <w:t>dotychczasowe wykonanie budżetu od roku 2015 wykazuje następujące wielkości dodatnie w ramach relacji zrównoważenia wydatków bieżących :</w:t>
      </w:r>
    </w:p>
    <w:p>
      <w:pPr>
        <w:pStyle w:val="Normal"/>
        <w:tabs>
          <w:tab w:val="left" w:pos="708"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before="0" w:after="198"/>
        <w:ind w:left="0" w:hanging="0"/>
        <w:jc w:val="left"/>
        <w:rPr>
          <w:rFonts w:ascii="Times New Roman" w:hAnsi="Times New Roman" w:cs="Times New Roman"/>
          <w:sz w:val="20"/>
          <w:szCs w:val="20"/>
        </w:rPr>
      </w:pPr>
      <w:r>
        <w:rPr>
          <w:rFonts w:cs="Times New Roman" w:ascii="Times New Roman" w:hAnsi="Times New Roman"/>
          <w:sz w:val="20"/>
          <w:szCs w:val="20"/>
          <w:u w:val="single"/>
        </w:rPr>
        <w:t>2015 rok : +4 980 457,67 zł, 2016 rok: +5 341 942,04 zł, 2017 rok : +6 776 753,87 zł, 2018 rok : +4 897 790,88 zł, 2019 rok: +4 471 160,16 zł; 2020 rok : +3 992 680,11 zł, w roku 2021 : +5 521 294,86 zł</w:t>
      </w:r>
      <w:r>
        <w:rPr>
          <w:rFonts w:cs="Times New Roman" w:ascii="Times New Roman" w:hAnsi="Times New Roman"/>
          <w:sz w:val="20"/>
          <w:szCs w:val="20"/>
        </w:rPr>
        <w:t xml:space="preserve">. Stąd też w prognozie założono nadwyżki, które będą pokryciem dla spłaty zobowiązań.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2022 roku w Wieloletniej Prognozie Finansowej przyjęto </w:t>
      </w:r>
      <w:r>
        <w:rPr>
          <w:rFonts w:cs="Times New Roman" w:ascii="Times New Roman" w:hAnsi="Times New Roman"/>
          <w:b/>
          <w:bCs/>
          <w:sz w:val="20"/>
          <w:szCs w:val="20"/>
        </w:rPr>
        <w:t>rozchody</w:t>
      </w:r>
      <w:r>
        <w:rPr>
          <w:rFonts w:cs="Times New Roman" w:ascii="Times New Roman" w:hAnsi="Times New Roman"/>
          <w:sz w:val="20"/>
          <w:szCs w:val="20"/>
        </w:rPr>
        <w:t xml:space="preserve"> w kwocie </w:t>
      </w:r>
      <w:r>
        <w:rPr>
          <w:rFonts w:cs="Times New Roman" w:ascii="Times New Roman" w:hAnsi="Times New Roman"/>
          <w:b/>
          <w:bCs/>
          <w:sz w:val="20"/>
          <w:szCs w:val="20"/>
        </w:rPr>
        <w:t>2 013 982,92 zł</w:t>
      </w:r>
      <w:r>
        <w:rPr>
          <w:rFonts w:cs="Times New Roman" w:ascii="Times New Roman" w:hAnsi="Times New Roman"/>
          <w:sz w:val="20"/>
          <w:szCs w:val="20"/>
        </w:rPr>
        <w:t xml:space="preserve"> wynikające:</w:t>
      </w:r>
    </w:p>
    <w:p>
      <w:pPr>
        <w:pStyle w:val="Normal"/>
        <w:numPr>
          <w:ilvl w:val="3"/>
          <w:numId w:val="2"/>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wykupu emisji obligacji komunalnych seria D13 -umowa z dnia 19.12.2013 r.– kwota 2 000 000,00 zł,</w:t>
      </w:r>
    </w:p>
    <w:p>
      <w:pPr>
        <w:pStyle w:val="Normal"/>
        <w:numPr>
          <w:ilvl w:val="3"/>
          <w:numId w:val="2"/>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Ze spłaty pożyczki z WFOŚiGW we Wrocławiu- umowa Nr 286/P/OA/WB/2019 - zadanie inwestycyjne pn."Ograniczenie niskiej emisji spalin na obszarze województwa dolnośląskiego - Gmina Nowa Ruda" w ramach programu Priorytetowego "Ograniczenie niskiej emisji na obszarze województwa dolnośląskiego" w kwocie 13 982,92 zł.</w:t>
      </w:r>
    </w:p>
    <w:p>
      <w:pPr>
        <w:pStyle w:val="Normal"/>
        <w:tabs>
          <w:tab w:val="clear" w:pos="708"/>
          <w:tab w:val="left" w:pos="106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106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W Wieloletniej Prognozie Finansowej przyjęte wartości do planu dochodów bieżących i majątkowych oraz wydatków bieżących i majątkowych  na rok 2022 szczegółowo zostały przedstawione w uchwale budżetowej na rok 2022 i są zgodne w zakresie wyniku budżetu i związanych z nim kwot rozchodów oraz długu Gminy.</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b/>
          <w:bCs/>
          <w:sz w:val="20"/>
          <w:szCs w:val="20"/>
        </w:rPr>
        <w:t>Planowana kwota długu na koniec roku 2022</w:t>
      </w:r>
      <w:r>
        <w:rPr>
          <w:rFonts w:cs="Times New Roman" w:ascii="Times New Roman" w:hAnsi="Times New Roman"/>
          <w:sz w:val="20"/>
          <w:szCs w:val="20"/>
        </w:rPr>
        <w:t xml:space="preserve"> wynosi </w:t>
      </w:r>
      <w:r>
        <w:rPr>
          <w:rFonts w:cs="Times New Roman" w:ascii="Times New Roman" w:hAnsi="Times New Roman"/>
          <w:b/>
          <w:bCs/>
          <w:sz w:val="20"/>
          <w:szCs w:val="20"/>
        </w:rPr>
        <w:t>16 630 781,56 zł</w:t>
      </w:r>
      <w:r>
        <w:rPr>
          <w:rFonts w:cs="Times New Roman" w:ascii="Times New Roman" w:hAnsi="Times New Roman"/>
          <w:sz w:val="20"/>
          <w:szCs w:val="20"/>
        </w:rPr>
        <w:t xml:space="preserve"> i wynika: </w:t>
      </w:r>
    </w:p>
    <w:p>
      <w:pPr>
        <w:pStyle w:val="Normal"/>
        <w:numPr>
          <w:ilvl w:val="0"/>
          <w:numId w:val="29"/>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wykupu emisji i obligacji komunalnych – kwota 10 500 000,00 zł,</w:t>
      </w:r>
    </w:p>
    <w:p>
      <w:pPr>
        <w:pStyle w:val="Normal"/>
        <w:numPr>
          <w:ilvl w:val="0"/>
          <w:numId w:val="30"/>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z planowanej emisji i obligacji komunalnych – kwota 6 000 000,00 zł</w:t>
      </w:r>
    </w:p>
    <w:p>
      <w:pPr>
        <w:pStyle w:val="Normal"/>
        <w:numPr>
          <w:ilvl w:val="0"/>
          <w:numId w:val="31"/>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pożyczki z Wojewódzkiego Funduszu Ochrony Środowiska i Gospodarki Wodnej we Wrocławiu na dofinansowanie realizacji zadania "Ograniczenie niskiej emisji spalin na obszarze województwa dolnośląskiego - Gmina Nowa Ruda" ETAP II- kwota 130 781,56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Całkowita spłata długu nastąpi w 2030 roku.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związku z </w:t>
      </w:r>
      <w:r>
        <w:rPr>
          <w:rFonts w:cs="Times New Roman" w:ascii="Times New Roman" w:hAnsi="Times New Roman"/>
          <w:b/>
          <w:bCs/>
          <w:sz w:val="20"/>
          <w:szCs w:val="20"/>
        </w:rPr>
        <w:t>art. 15 zob ustawy z dnia 2 marca 2020 roku o szczególnych rozwiązaniach związanych z zapobieganiem, przeciwdziałaniem i zwalczaniem COVID-19, innych chorób zakaźnych oraz wywołanych nimi sytuacji kryzysowych</w:t>
      </w:r>
      <w:r>
        <w:rPr>
          <w:rFonts w:cs="Times New Roman" w:ascii="Times New Roman" w:hAnsi="Times New Roman"/>
          <w:sz w:val="20"/>
          <w:szCs w:val="20"/>
        </w:rPr>
        <w:t xml:space="preserve">  (t.j. Dz.U. 2020 poz. 1842) w roku 2020 </w:t>
      </w:r>
      <w:r>
        <w:rPr>
          <w:rFonts w:cs="Times New Roman" w:ascii="Times New Roman" w:hAnsi="Times New Roman"/>
          <w:b/>
          <w:bCs/>
          <w:sz w:val="20"/>
          <w:szCs w:val="20"/>
        </w:rPr>
        <w:t>dokonano wyłączeń</w:t>
      </w:r>
      <w:r>
        <w:rPr>
          <w:rFonts w:cs="Times New Roman" w:ascii="Times New Roman" w:hAnsi="Times New Roman"/>
          <w:sz w:val="20"/>
          <w:szCs w:val="20"/>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b/>
          <w:bCs/>
          <w:sz w:val="20"/>
          <w:szCs w:val="20"/>
        </w:rPr>
        <w:t>w pozycji 10.11</w:t>
      </w:r>
      <w:r>
        <w:rPr>
          <w:rFonts w:cs="Times New Roman" w:ascii="Times New Roman" w:hAnsi="Times New Roman"/>
          <w:sz w:val="20"/>
          <w:szCs w:val="20"/>
        </w:rPr>
        <w:t xml:space="preserve"> – </w:t>
      </w:r>
      <w:r>
        <w:rPr>
          <w:rFonts w:cs="Times New Roman" w:ascii="Times New Roman" w:hAnsi="Times New Roman"/>
          <w:b/>
          <w:bCs/>
          <w:sz w:val="20"/>
          <w:szCs w:val="20"/>
        </w:rPr>
        <w:t>kwota 127 549,39 zł</w:t>
      </w:r>
      <w:r>
        <w:rPr>
          <w:rFonts w:cs="Times New Roman" w:ascii="Times New Roman" w:hAnsi="Times New Roman"/>
          <w:sz w:val="20"/>
          <w:szCs w:val="20"/>
        </w:rPr>
        <w:t xml:space="preserve"> – wyłączenie dotyczy wydatków bieżących ponoszonych w 2020 r. w celu realizacji zadań związanych z przeciwdziałaniem COVID - 19, które stosownie </w:t>
      </w:r>
      <w:r>
        <w:rPr>
          <w:rFonts w:cs="Times New Roman" w:ascii="Times New Roman" w:hAnsi="Times New Roman"/>
          <w:b/>
          <w:bCs/>
          <w:sz w:val="20"/>
          <w:szCs w:val="20"/>
          <w:u w:val="single"/>
        </w:rPr>
        <w:t>do art. 15 zob ust. 2 pkt 2 ustawy</w:t>
      </w:r>
      <w:r>
        <w:rPr>
          <w:rFonts w:cs="Times New Roman" w:ascii="Times New Roman" w:hAnsi="Times New Roman"/>
          <w:sz w:val="20"/>
          <w:szCs w:val="20"/>
        </w:rPr>
        <w:t xml:space="preserve"> przy wyliczaniu wskaźnika spłaty zobowiązań na rok 2021 i kolejne lata, będą pomniejszały wydatki bieżące.  Zgodnie z wyjaśnieniami opublikowanymi przez MF w związku z opublikowaniem nowego wzoru WPF- wprowadzono kwotę wydatków o charakterze bieżącym, </w:t>
      </w:r>
      <w:r>
        <w:rPr>
          <w:rFonts w:cs="Times New Roman" w:ascii="Times New Roman" w:hAnsi="Times New Roman"/>
          <w:b/>
          <w:bCs/>
          <w:sz w:val="20"/>
          <w:szCs w:val="20"/>
          <w:u w:val="single"/>
        </w:rPr>
        <w:t>które zostały uruchomione bezpośrednio w efekcie wystąpienia pandemii. Są to wydatki wcześniej nie planowane i realizowane w ramach zarządzania kryzysowego</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 związku z </w:t>
      </w:r>
      <w:r>
        <w:rPr>
          <w:rFonts w:cs="Times New Roman" w:ascii="Times New Roman" w:hAnsi="Times New Roman"/>
          <w:b/>
          <w:bCs/>
          <w:sz w:val="20"/>
          <w:szCs w:val="20"/>
        </w:rPr>
        <w:t xml:space="preserve">art. 110 ustawy z dnia 12 marca 2022 roku o pomocy obywatelom Ukrainy w związku z konfliktem zbrojnym na terenie tego państwa </w:t>
      </w:r>
      <w:r>
        <w:rPr>
          <w:rFonts w:cs="Times New Roman" w:ascii="Times New Roman" w:hAnsi="Times New Roman"/>
          <w:sz w:val="20"/>
          <w:szCs w:val="20"/>
        </w:rPr>
        <w:t>(t.j. Dz.U. 2022 poz. 583) w roku 2022 dokonano wyłączenia kwoty 330 000,00 zł tytułem uruchomionych środków własnych na pokrycie kosztów pobytu uchodźców na terenie Gminy Nowa Ruda. Środki te zostały uruchomione Zarządzeniem Wójta nr 106/22 z dnia 23 marca 2022 roku (uruchomienie rezerwy na zarządzanie kryzysowe- 220 00,00 zł) oraz uchwałą Rady Gminy Nowa Ruda z dnia 30 marca 2022 roku (kwota 100 000,00 zł).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b/>
          <w:bCs/>
          <w:sz w:val="20"/>
          <w:szCs w:val="20"/>
          <w:u w:val="single"/>
        </w:rPr>
        <w:t>Ustalana na lata 2022-2025 relacja łącznej kwoty przypadających w danym roku budżetowym spłat i wykupów określonych w art. 243 ust. 1 ustawy o finansach publicznych,  nie może przekroczyć średniej arytmetycznej z obliczonych dla ostatnich trzech albo siedmiu lat relacji dochodów bieżących powiększonych o dochody ze sprzedaży majątku oraz pomniejszonych o wydatki bieżące do dochodów bieżących budżetu</w:t>
      </w:r>
      <w:r>
        <w:rPr>
          <w:rFonts w:cs="Times New Roman" w:ascii="Times New Roman" w:hAnsi="Times New Roman"/>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Wyboru długości okresu stosowanego do wyliczenia relacji dokonuje organ wykonawczy jednostki samorządu terytorialnego do dnia 31 grudnia 2021 r. i informuje o wyborze właściwą regionalną izbę obrachunkową oraz organ stanowiący tej jednostki. Przepis ten ma zastosowanie po raz pierwszy do opracowania i wykonania uchwały budżetowej oraz wieloletniej prognozy finansowej jednostki samorządu terytorialnego na rok 2022.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t>W Wieloletniej Prognozie Finansowej Gmina Nowa Ruda przyjęła wariant 3-letni, wybór został przyjęty Zarządzeniem nr 609/21 Wójta Gminy Nowa Ruda z dnia 14 grudnia 2021 roku.</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b/>
          <w:b/>
          <w:bCs/>
          <w:sz w:val="20"/>
          <w:szCs w:val="20"/>
          <w:u w:val="single"/>
        </w:rPr>
      </w:pPr>
      <w:r>
        <w:rPr>
          <w:rFonts w:cs="Times New Roman" w:ascii="Times New Roman" w:hAnsi="Times New Roman"/>
          <w:b/>
          <w:bCs/>
          <w:sz w:val="20"/>
          <w:szCs w:val="20"/>
          <w:u w:val="singl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Począwszy od 2022 do 2030 roku zachowana jest dyspozycja art. 243 ustawy o finansach publicznych.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color w:val="FF0000"/>
          <w:sz w:val="20"/>
          <w:szCs w:val="20"/>
        </w:rPr>
      </w:pPr>
      <w:r>
        <w:rPr>
          <w:rFonts w:cs="Times New Roman" w:ascii="Times New Roman" w:hAnsi="Times New Roman"/>
          <w:color w:val="FF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 xml:space="preserve">Załącznik Nr 2 Wieloletniej Prognozy Finansowej stanowi wykaz przedsięwzięć realizowanych przez Gminę, których okres realizacji wykracza poza jeden rok budżetowy. Jako przedsięwzięcia uznano: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32"/>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b/>
          <w:b/>
          <w:bCs/>
          <w:sz w:val="20"/>
          <w:szCs w:val="20"/>
          <w:u w:val="single"/>
        </w:rPr>
      </w:pPr>
      <w:r>
        <w:rPr>
          <w:rFonts w:cs="Times New Roman" w:ascii="Times New Roman" w:hAnsi="Times New Roman"/>
          <w:b/>
          <w:bCs/>
          <w:sz w:val="20"/>
          <w:szCs w:val="20"/>
          <w:u w:val="single"/>
        </w:rPr>
        <w:t>w ramach projektów związanych z programami realizowanymi z udziałem środków, o których mowa w art. 5 ust. 1 pkt 2 i 3 ustawy o finansach publicznych:</w:t>
      </w:r>
    </w:p>
    <w:p>
      <w:pPr>
        <w:pStyle w:val="Normal"/>
        <w:tabs>
          <w:tab w:val="clear" w:pos="708"/>
          <w:tab w:val="left" w:pos="720" w:leader="none"/>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i/>
          <w:i/>
          <w:iCs/>
          <w:sz w:val="20"/>
          <w:szCs w:val="20"/>
        </w:rPr>
      </w:pPr>
      <w:r>
        <w:rPr>
          <w:rFonts w:cs="Times New Roman" w:ascii="Times New Roman" w:hAnsi="Times New Roman"/>
          <w:i/>
          <w:iCs/>
          <w:sz w:val="20"/>
          <w:szCs w:val="20"/>
        </w:rPr>
        <w:t>a) w ramach wydatków bieżących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Rozwój obszaru Funkcjonalnego Aglomeracji Wałbrzyskiej poprzez opracowanie dokumentów strategicznych wspierających integrację 22 jst: Strategii ZIT, Programu Gospodarki Niskoemisyjnej i Zintegrowanego Transportu Publicznego”</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758 rozdział 75809 paragraf  2889)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"Wymiana wysokoemisyjnych źródeł ciepła w budynkach i lokalach mieszkalnych na terenie wybranych gmin Aglomeracji Wałbrzyskiej” - ostatni rok finansowania</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90005 paragraf  401,411,412,421,430)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"Lubimy się/Máme se rádi" - ostatni rok finansowania</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921 rozdział 92195 paragraf  401,411,412,421,430)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Program Cyfrowa Polska” – wsparcie dla dzieci z rodzin byłych pracowników PGR – start!</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801 rozdział 80195 paragraf  4217)</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"Wiem, umiem, potrafię!-wzrost kompetencji kluczowych uczniów/uczennic z 3 szkół prowadzonych przez Gminę Nowa Ruda w latach 2022-2023"</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801 rozdział 80101 paragraf  401,411,412,424,430)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Cyfrowa Gmina” w ramach Programu Operacyjnego Polska Cyfrowa na lata 2014-2020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750 rozdział 75023 paragraf  4217, 4307)</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i/>
          <w:i/>
          <w:iCs/>
          <w:sz w:val="20"/>
          <w:szCs w:val="20"/>
        </w:rPr>
      </w:pPr>
      <w:r>
        <w:rPr>
          <w:rFonts w:cs="Times New Roman" w:ascii="Times New Roman" w:hAnsi="Times New Roman"/>
          <w:i/>
          <w:iCs/>
          <w:sz w:val="20"/>
          <w:szCs w:val="20"/>
        </w:rPr>
        <w:t>b) w ramach wydatków majątkowych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Budowa przydomowych oczyszczalni ścieków w Gminie Nowa Ruda” - ostatni rok finansowania</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90001 paragraf  6057 i 6059)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"Wymiana wysokoemisyjnych źródeł ciepła w budynkach i lokalach mieszkalnych na terenie wybranych gmin Aglomeracji Wałbrzyskiej” - ostatni rok finansowania</w:t>
      </w:r>
    </w:p>
    <w:p>
      <w:pPr>
        <w:pStyle w:val="Normal"/>
        <w:widowControl w:val="false"/>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90005 paragraf  6237)</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Budowa i wyposażenie przedszkola z oddziałami integracyjnymi  w Bożkowie”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801 rozdział 80104 paragraf  6057 i 6059)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Modernizacja sali wiejskiej w Świerkach (docieplenie elewacji budynku)”</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921 rozdział 92109 paragraf  6057 i 6059)</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b/>
          <w:b/>
          <w:bCs/>
          <w:sz w:val="20"/>
          <w:szCs w:val="20"/>
          <w:u w:val="single"/>
        </w:rPr>
      </w:pPr>
      <w:r>
        <w:rPr>
          <w:rFonts w:cs="Times New Roman" w:ascii="Times New Roman" w:hAnsi="Times New Roman"/>
          <w:b/>
          <w:bCs/>
          <w:sz w:val="20"/>
          <w:szCs w:val="20"/>
          <w:u w:val="single"/>
        </w:rPr>
        <w:t>w ramach wydatków na projekty lub zadania pozostałe:</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i/>
          <w:i/>
          <w:iCs/>
          <w:sz w:val="20"/>
          <w:szCs w:val="20"/>
        </w:rPr>
      </w:pPr>
      <w:r>
        <w:rPr>
          <w:rFonts w:cs="Times New Roman" w:ascii="Times New Roman" w:hAnsi="Times New Roman"/>
          <w:i/>
          <w:iCs/>
          <w:sz w:val="20"/>
          <w:szCs w:val="20"/>
        </w:rPr>
        <w:t>a) w ramach wydatków bieżących :</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ab/>
        <w:t xml:space="preserve"> „Zakup samochodu osobowego w ramach leasingu na potrzeby Urzędu Gminy”</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dział 750  rozdział 75023 paragraf 4920) – ostatni rok finansowania</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"Umowa serwisowa VIVALDI"</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dział 750  rozdział 75075 i 75023 paragraf 4300) – ostatni rok finansowania</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"Abonament systemu Płace Vulcan"</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dział 750  rozdział 75023 paragraf 4300) – ostatni rok finansowania</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Sub-Regionalny Sieciowy Program Modernizacji Budynków”</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 xml:space="preserve">dział 758  rozdział 75814 paragraf 4300) </w:t>
      </w:r>
    </w:p>
    <w:p>
      <w:pPr>
        <w:pStyle w:val="Normal"/>
        <w:tabs>
          <w:tab w:val="clear" w:pos="708"/>
          <w:tab w:val="left" w:pos="744"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44" w:firstLine="696"/>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Laboratoria przyszłości”</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1416"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1416" w:hanging="0"/>
        <w:jc w:val="left"/>
        <w:rPr>
          <w:rFonts w:ascii="Times New Roman" w:hAnsi="Times New Roman" w:cs="Times New Roman"/>
          <w:sz w:val="20"/>
          <w:szCs w:val="20"/>
        </w:rPr>
      </w:pPr>
      <w:r>
        <w:rPr>
          <w:rFonts w:cs="Times New Roman" w:ascii="Times New Roman" w:hAnsi="Times New Roman"/>
          <w:sz w:val="20"/>
          <w:szCs w:val="20"/>
        </w:rPr>
        <w:t>dział 801 rozdział 80101 paragraf  4217)</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i/>
          <w:i/>
          <w:iCs/>
          <w:sz w:val="20"/>
          <w:szCs w:val="20"/>
        </w:rPr>
      </w:pPr>
      <w:r>
        <w:rPr>
          <w:rFonts w:cs="Times New Roman" w:ascii="Times New Roman" w:hAnsi="Times New Roman"/>
          <w:i/>
          <w:iCs/>
          <w:sz w:val="20"/>
          <w:szCs w:val="20"/>
        </w:rPr>
        <w:t>b) w ramach wydatków majątkowych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Budowa i wyposażenie przedszkola z oddziałami integracyjnymi  w Bożkowie”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801 rozdział 80104 paragraf  6050)</w:t>
      </w:r>
    </w:p>
    <w:p>
      <w:pPr>
        <w:pStyle w:val="Normal"/>
        <w:tabs>
          <w:tab w:val="clear" w:pos="708"/>
          <w:tab w:val="left" w:pos="144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lineRule="auto" w:line="360"/>
        <w:ind w:left="0" w:hanging="0"/>
        <w:rPr>
          <w:rFonts w:ascii="Times New Roman" w:hAnsi="Times New Roman" w:cs="Times New Roman"/>
          <w:sz w:val="20"/>
          <w:szCs w:val="20"/>
        </w:rPr>
      </w:pPr>
      <w:r>
        <w:rPr>
          <w:rFonts w:cs="Times New Roman" w:ascii="Times New Roman" w:hAnsi="Times New Roman"/>
          <w:i/>
          <w:iCs/>
          <w:sz w:val="20"/>
          <w:szCs w:val="20"/>
        </w:rPr>
        <w:t xml:space="preserve">            </w:t>
      </w:r>
      <w:r>
        <w:rPr>
          <w:rFonts w:cs="Times New Roman" w:ascii="Times New Roman" w:hAnsi="Times New Roman"/>
          <w:sz w:val="20"/>
          <w:szCs w:val="20"/>
        </w:rPr>
        <w:t>„</w:t>
      </w:r>
      <w:r>
        <w:rPr>
          <w:rFonts w:cs="Times New Roman" w:ascii="Times New Roman" w:hAnsi="Times New Roman"/>
          <w:sz w:val="20"/>
          <w:szCs w:val="20"/>
        </w:rPr>
        <w:t xml:space="preserve">Budowa hali sportowej przy Szkole Podstawowej w Ludwikowicach Kłodzkich”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926 rozdział 92601 paragraf 6050)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Budowa boiska sportowego w Czerwieńczycach”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926 rozdział 92601 paragraf 6050)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"Wydatki na podwyższenie kapitału zakładowego i objęcie udziałów w ZWiK sp. z o.o."</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90001 paragraf 6010)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"Rozwój Gminy Nowa Ruda poprzez inwestycje w infrastrukturę techniczną"</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600 rozdział 60016 paragraf 6050)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Pomoc finansowa dla Starostwa Powiatowego na realizację zadania inwestycyjnego w zakresie dróg powiatowych</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600 rozdział 60014 paragraf  6300)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Budowa boksów do segregacji odpadów w budynkach i lokalach komunalnych”</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900 rozdział 90095 paragraf  6050)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Budynek świetlicy wiejskiej wraz z infrastrukturą techniczną, przyłączem wody i kanalizacji sanitarnej (KOSZYN)”</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 xml:space="preserve">(w budżecie na rok 2022 wydatek ujęto w podziałce klasyfikacji budżetowej : </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dział 921 rozdział 92109 paragraf  6050)</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"Modernizacja boiska &lt;&lt;Orlik&gt;&gt; w Bożkowie"</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720" w:hanging="0"/>
        <w:jc w:val="left"/>
        <w:rPr>
          <w:rFonts w:ascii="Times New Roman" w:hAnsi="Times New Roman" w:cs="Times New Roman"/>
          <w:sz w:val="20"/>
          <w:szCs w:val="20"/>
        </w:rPr>
      </w:pPr>
      <w:r>
        <w:rPr>
          <w:rFonts w:cs="Times New Roman" w:ascii="Times New Roman" w:hAnsi="Times New Roman"/>
          <w:sz w:val="20"/>
          <w:szCs w:val="20"/>
        </w:rPr>
        <w:t>(wydatek planowany w roku 2023)</w:t>
      </w:r>
    </w:p>
    <w:p>
      <w:pPr>
        <w:pStyle w:val="Normal"/>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jc w:val="left"/>
        <w:rPr>
          <w:rFonts w:ascii="Times New Roman" w:hAnsi="Times New Roman" w:cs="Times New Roman"/>
          <w:sz w:val="20"/>
          <w:szCs w:val="20"/>
        </w:rPr>
      </w:pPr>
      <w:r>
        <w:rPr>
          <w:rFonts w:cs="Times New Roman" w:ascii="Times New Roman" w:hAnsi="Times New Roman"/>
          <w:sz w:val="20"/>
          <w:szCs w:val="20"/>
        </w:rPr>
        <w:t>Pozostałe zadania przyjęte do realizacji na 2022 rok planowane są do wykonania i zakończenia w roku 2022.</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Załącznik nr 3 stanowią objaśnienia dotyczące metodologii przyjętych założeń oraz analizę danych prezentowanych w Wieloletniej Prognozie Finansowej.</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0" w:hanging="0"/>
        <w:rPr>
          <w:rFonts w:ascii="Times New Roman" w:hAnsi="Times New Roman" w:cs="Times New Roman"/>
          <w:sz w:val="20"/>
          <w:szCs w:val="20"/>
        </w:rPr>
      </w:pPr>
      <w:r>
        <w:rPr>
          <w:rFonts w:cs="Times New Roman" w:ascii="Times New Roman" w:hAnsi="Times New Roman"/>
          <w:sz w:val="20"/>
          <w:szCs w:val="20"/>
        </w:rPr>
        <w:t>Odległy czas prognozowania zwiększa ryzyko niewłaściwego oszacowania wartości przyjętych w prognozie w odniesieniu do faktycznie uzyskanych. W związku z powyższym Wieloletnia Prognoza Finansowa będzie corocznie nowelizowana w ramach poniższych założeń:</w:t>
      </w:r>
    </w:p>
    <w:p>
      <w:pPr>
        <w:pStyle w:val="Normal"/>
        <w:numPr>
          <w:ilvl w:val="0"/>
          <w:numId w:val="33"/>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Times New Roman" w:hAnsi="Times New Roman" w:cs="Times New Roman"/>
          <w:sz w:val="20"/>
          <w:szCs w:val="20"/>
        </w:rPr>
      </w:pPr>
      <w:r>
        <w:rPr>
          <w:rFonts w:cs="Times New Roman" w:ascii="Times New Roman" w:hAnsi="Times New Roman"/>
          <w:sz w:val="20"/>
          <w:szCs w:val="20"/>
        </w:rPr>
        <w:t>dla danego roku będą przyjmowane wartości wynikające z projektu budżetu,</w:t>
      </w:r>
    </w:p>
    <w:p>
      <w:pPr>
        <w:pStyle w:val="Normal"/>
        <w:widowControl w:val="false"/>
        <w:numPr>
          <w:ilvl w:val="0"/>
          <w:numId w:val="14"/>
        </w:numPr>
        <w:tabs>
          <w:tab w:val="clear" w:pos="708"/>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rPr>
          <w:rFonts w:ascii="Calibri" w:hAnsi="Calibri" w:cs="Calibri"/>
          <w:sz w:val="20"/>
          <w:szCs w:val="20"/>
        </w:rPr>
      </w:pPr>
      <w:r>
        <w:rPr>
          <w:rFonts w:cs="Times New Roman" w:ascii="Times New Roman" w:hAnsi="Times New Roman"/>
          <w:sz w:val="20"/>
          <w:szCs w:val="20"/>
        </w:rPr>
        <w:t>na pozostałe lata przyjmowane wartości będą prognozowane o poszczególne wskaźniki PKB i CPI oraz wskaźniki inflacji.</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jc w:val="left"/>
        <w:rPr>
          <w:rFonts w:ascii="Calibri" w:hAnsi="Calibri" w:cs="Calibri"/>
          <w:sz w:val="20"/>
          <w:szCs w:val="20"/>
        </w:rPr>
      </w:pPr>
      <w:r>
        <w:rPr>
          <w:rFonts w:cs="Calibri"/>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rPr>
          <w:rFonts w:ascii="Calibri" w:hAnsi="Calibri" w:cs="Calibri"/>
          <w:b/>
          <w:b/>
          <w:bCs/>
          <w:sz w:val="20"/>
          <w:szCs w:val="20"/>
          <w:u w:val="single"/>
        </w:rPr>
      </w:pPr>
      <w:r>
        <w:rPr>
          <w:rFonts w:cs="Calibri"/>
          <w:b/>
          <w:bCs/>
          <w:sz w:val="20"/>
          <w:szCs w:val="20"/>
          <w:u w:val="single"/>
        </w:rPr>
        <w:t>DODATKOWE OBJAŚNIENIA DO WIELOLETNIEJ PROGNOZY FINANSOWEJ</w:t>
      </w:r>
    </w:p>
    <w:p>
      <w:pPr>
        <w:pStyle w:val="Normal"/>
        <w:tabs>
          <w:tab w:val="left" w:pos="35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sz w:val="20"/>
          <w:szCs w:val="20"/>
        </w:rPr>
      </w:pPr>
      <w:r>
        <w:rPr>
          <w:rFonts w:cs="Calibri"/>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left="0" w:hanging="0"/>
        <w:rPr>
          <w:rFonts w:ascii="Times New Roman" w:hAnsi="Times New Roman" w:cs="Times New Roman"/>
          <w:sz w:val="20"/>
          <w:szCs w:val="20"/>
        </w:rPr>
      </w:pPr>
      <w:r>
        <w:rPr>
          <w:rFonts w:cs="Times New Roman" w:ascii="Times New Roman" w:hAnsi="Times New Roman"/>
          <w:b/>
          <w:bCs/>
          <w:sz w:val="20"/>
          <w:szCs w:val="20"/>
        </w:rPr>
        <w:t>oz. 10.11</w:t>
      </w:r>
      <w:r>
        <w:rPr>
          <w:rFonts w:cs="Times New Roman" w:ascii="Times New Roman" w:hAnsi="Times New Roman"/>
          <w:sz w:val="20"/>
          <w:szCs w:val="20"/>
        </w:rPr>
        <w:t xml:space="preserve"> - W związku z art. 110 ustawy z dnia 12 marca 2022 roku o pomocy obywatelom Ukrainy w związku z konfliktem zbrojnym na terenie tego państwa (t.j. Dz.U. 2022 poz. 583) w roku 2022 dokonano wyłączenia kwoty 330 000,00 zł tytułem uruchomionych środków własnych na pokrycie kosztów pobytu uchodźców na terenie Gminy Nowa Ruda. Środki te zostały uruchomione Zarządzeniem Wójta nr 106/22 z dnia 23 marca 2022 roku (uruchomienie rezerwy na zarządzanie kryzysowe- 220 00,00 zł) oraz uchwałą Rady Gminy Nowa Ruda z dnia 30 marca 2022 roku (kwota 100 000,00 zł).</w:t>
      </w:r>
    </w:p>
    <w:p>
      <w:pPr>
        <w:pStyle w:val="Normal"/>
        <w:widowControl w:val="false"/>
        <w:ind w:left="0" w:hanging="0"/>
        <w:jc w:val="left"/>
        <w:rPr>
          <w:rFonts w:ascii="Times New Roman" w:hAnsi="Times New Roman" w:cs="Times New Roman"/>
          <w:sz w:val="20"/>
          <w:szCs w:val="20"/>
        </w:rPr>
      </w:pPr>
      <w:r>
        <w:rPr>
          <w:rFonts w:cs="Times New Roman" w:ascii="Times New Roman" w:hAnsi="Times New Roman"/>
          <w:sz w:val="20"/>
          <w:szCs w:val="20"/>
        </w:rPr>
      </w:r>
    </w:p>
    <w:p>
      <w:pPr>
        <w:pStyle w:val="Normal"/>
        <w:rPr/>
      </w:pPr>
      <w:r>
        <w:rPr/>
      </w:r>
    </w:p>
    <w:sectPr>
      <w:footerReference w:type="default" r:id="rId3"/>
      <w:type w:val="nextPage"/>
      <w:pgSz w:w="11906" w:h="16838"/>
      <w:pgMar w:left="1417" w:right="1417" w:header="0" w:top="1417" w:footer="72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fldChar w:fldCharType="begin"/>
    </w:r>
    <w:r>
      <w:rPr/>
      <w:instrText> PAGE \* ARABIC </w:instrText>
    </w:r>
    <w:r>
      <w:rPr/>
      <w:fldChar w:fldCharType="separate"/>
    </w:r>
    <w:r>
      <w:rPr/>
      <w:t>12</w:t>
    </w:r>
    <w:r>
      <w:rPr/>
      <w:fldChar w:fldCharType="end"/>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360" w:firstLine="113"/>
      </w:pPr>
      <w:rPr>
        <w:rFonts w:ascii="Symbol" w:hAnsi="Symbol" w:cs="Symbol" w:hint="default"/>
        <w:dstrike w:val="false"/>
        <w:strike w:val="false"/>
        <w:sz w:val="24"/>
        <w:i w:val="false"/>
        <w:u w:val="none"/>
        <w:b w:val="false"/>
        <w:szCs w:val="24"/>
        <w:iCs w:val="false"/>
        <w:bCs w:val="false"/>
        <w:color w:val="auto"/>
      </w:rPr>
    </w:lvl>
    <w:lvl w:ilvl="1">
      <w:start w:val="1"/>
      <w:numFmt w:val="bullet"/>
      <w:lvlText w:val=""/>
      <w:lvlJc w:val="left"/>
      <w:pPr>
        <w:tabs>
          <w:tab w:val="num" w:pos="0"/>
        </w:tabs>
        <w:ind w:left="720" w:firstLine="113"/>
      </w:pPr>
      <w:rPr>
        <w:rFonts w:ascii="Symbol" w:hAnsi="Symbol" w:cs="Symbol" w:hint="default"/>
        <w:dstrike w:val="false"/>
        <w:strike w:val="false"/>
        <w:sz w:val="24"/>
        <w:i w:val="false"/>
        <w:u w:val="none"/>
        <w:b w:val="false"/>
        <w:szCs w:val="24"/>
        <w:iCs w:val="false"/>
        <w:bCs w:val="false"/>
        <w:color w:val="auto"/>
      </w:rPr>
    </w:lvl>
    <w:lvl w:ilvl="2">
      <w:start w:val="1"/>
      <w:numFmt w:val="bullet"/>
      <w:lvlText w:val=""/>
      <w:lvlJc w:val="left"/>
      <w:pPr>
        <w:tabs>
          <w:tab w:val="num" w:pos="0"/>
        </w:tabs>
        <w:ind w:left="1080" w:firstLine="113"/>
      </w:pPr>
      <w:rPr>
        <w:rFonts w:ascii="Symbol" w:hAnsi="Symbol" w:cs="Symbol" w:hint="default"/>
        <w:dstrike w:val="false"/>
        <w:strike w:val="false"/>
        <w:sz w:val="24"/>
        <w:i w:val="false"/>
        <w:u w:val="none"/>
        <w:b w:val="false"/>
        <w:szCs w:val="24"/>
        <w:iCs w:val="false"/>
        <w:bCs w:val="false"/>
        <w:color w:val="auto"/>
      </w:rPr>
    </w:lvl>
    <w:lvl w:ilvl="3">
      <w:start w:val="1"/>
      <w:numFmt w:val="lowerLetter"/>
      <w:lvlText w:val="%4)"/>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3">
    <w:lvl w:ilvl="0">
      <w:start w:val="1"/>
      <w:numFmt w:val="decimal"/>
      <w:lvlText w:val="%1."/>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96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4">
    <w:lvl w:ilvl="0">
      <w:start w:val="1"/>
      <w:numFmt w:val="decimal"/>
      <w:lvlText w:val="%1)"/>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5">
    <w:lvl w:ilvl="0">
      <w:start w:val="1"/>
      <w:numFmt w:val="decimal"/>
      <w:lvlText w:val="%1)"/>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6">
    <w:lvl w:ilvl="0">
      <w:start w:val="1"/>
      <w:numFmt w:val="decimal"/>
      <w:lvlText w:val="%1)"/>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7">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 w:ilvl="1">
      <w:start w:val="1"/>
      <w:numFmt w:val="bullet"/>
      <w:lvlText w:val=""/>
      <w:lvlJc w:val="left"/>
      <w:pPr>
        <w:tabs>
          <w:tab w:val="num" w:pos="0"/>
        </w:tabs>
        <w:ind w:left="720" w:firstLine="113"/>
      </w:pPr>
      <w:rPr>
        <w:rFonts w:ascii="Symbol" w:hAnsi="Symbol" w:cs="Symbol" w:hint="default"/>
        <w:dstrike w:val="false"/>
        <w:strike w:val="false"/>
        <w:sz w:val="24"/>
        <w:i w:val="false"/>
        <w:u w:val="none"/>
        <w:b w:val="false"/>
        <w:szCs w:val="24"/>
        <w:iCs w:val="false"/>
        <w:bCs w:val="false"/>
        <w:color w:val="auto"/>
      </w:rPr>
    </w:lvl>
    <w:lvl w:ilvl="2">
      <w:start w:val="1"/>
      <w:numFmt w:val="bullet"/>
      <w:lvlText w:val=""/>
      <w:lvlJc w:val="left"/>
      <w:pPr>
        <w:tabs>
          <w:tab w:val="num" w:pos="0"/>
        </w:tabs>
        <w:ind w:left="1080" w:firstLine="113"/>
      </w:pPr>
      <w:rPr>
        <w:rFonts w:ascii="Symbol" w:hAnsi="Symbol" w:cs="Symbol" w:hint="default"/>
        <w:dstrike w:val="false"/>
        <w:strike w:val="false"/>
        <w:sz w:val="24"/>
        <w:i w:val="false"/>
        <w:u w:val="none"/>
        <w:b w:val="false"/>
        <w:szCs w:val="24"/>
        <w:iCs w:val="false"/>
        <w:bCs w:val="false"/>
        <w:color w:val="auto"/>
      </w:rPr>
    </w:lvl>
    <w:lvl w:ilvl="3">
      <w:start w:val="1"/>
      <w:numFmt w:val="lowerLetter"/>
      <w:lvlText w:val="%4)"/>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8">
    <w:lvl w:ilvl="0">
      <w:start w:val="1"/>
      <w:numFmt w:val="bullet"/>
      <w:lvlText w:val=""/>
      <w:lvlJc w:val="left"/>
      <w:pPr>
        <w:tabs>
          <w:tab w:val="num" w:pos="0"/>
        </w:tabs>
        <w:ind w:left="360" w:firstLine="113"/>
      </w:pPr>
      <w:rPr>
        <w:rFonts w:ascii="Symbol" w:hAnsi="Symbol" w:cs="Symbol" w:hint="default"/>
        <w:dstrike w:val="false"/>
        <w:strike w:val="false"/>
        <w:sz w:val="24"/>
        <w:i w:val="false"/>
        <w:u w:val="none"/>
        <w:b w:val="false"/>
        <w:szCs w:val="24"/>
        <w:iCs w:val="false"/>
        <w:bCs w:val="false"/>
        <w:color w:val="auto"/>
      </w:rPr>
    </w:lvl>
    <w:lvl w:ilvl="1">
      <w:start w:val="1"/>
      <w:numFmt w:val="bullet"/>
      <w:lvlText w:val=""/>
      <w:lvlJc w:val="left"/>
      <w:pPr>
        <w:tabs>
          <w:tab w:val="num" w:pos="0"/>
        </w:tabs>
        <w:ind w:left="720" w:firstLine="113"/>
      </w:pPr>
      <w:rPr>
        <w:rFonts w:ascii="Symbol" w:hAnsi="Symbol" w:cs="Symbol" w:hint="default"/>
        <w:dstrike w:val="false"/>
        <w:strike w:val="false"/>
        <w:sz w:val="24"/>
        <w:i w:val="false"/>
        <w:u w:val="none"/>
        <w:b w:val="false"/>
        <w:szCs w:val="24"/>
        <w:iCs w:val="false"/>
        <w:bCs w:val="false"/>
        <w:color w:val="auto"/>
      </w:rPr>
    </w:lvl>
    <w:lvl w:ilvl="2">
      <w:start w:val="1"/>
      <w:numFmt w:val="bullet"/>
      <w:lvlText w:val=""/>
      <w:lvlJc w:val="left"/>
      <w:pPr>
        <w:tabs>
          <w:tab w:val="num" w:pos="0"/>
        </w:tabs>
        <w:ind w:left="1080" w:firstLine="113"/>
      </w:pPr>
      <w:rPr>
        <w:rFonts w:ascii="Symbol" w:hAnsi="Symbol" w:cs="Symbol" w:hint="default"/>
        <w:dstrike w:val="false"/>
        <w:strike w:val="false"/>
        <w:sz w:val="24"/>
        <w:i w:val="false"/>
        <w:u w:val="none"/>
        <w:b w:val="false"/>
        <w:szCs w:val="24"/>
        <w:iCs w:val="false"/>
        <w:bCs w:val="false"/>
        <w:color w:val="auto"/>
      </w:rPr>
    </w:lvl>
    <w:lvl w:ilvl="3">
      <w:start w:val="1"/>
      <w:numFmt w:val="lowerLetter"/>
      <w:lvlText w:val="%4)"/>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9">
    <w:lvl w:ilvl="0">
      <w:start w:val="1"/>
      <w:numFmt w:val="decimal"/>
      <w:lvlText w:val="%1)"/>
      <w:lvlJc w:val="left"/>
      <w:pPr>
        <w:tabs>
          <w:tab w:val="num" w:pos="0"/>
        </w:tabs>
        <w:ind w:left="717"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717" w:hanging="360"/>
      </w:pPr>
      <w:rPr>
        <w:dstrike w:val="false"/>
        <w:strike w:val="false"/>
        <w:sz w:val="20"/>
        <w:i w:val="false"/>
        <w:u w:val="none"/>
        <w:b/>
        <w:szCs w:val="20"/>
        <w:iCs w:val="false"/>
        <w:bCs/>
        <w:rFonts w:ascii="Times New Roman" w:hAnsi="Times New Roman" w:cs="Times New Roman"/>
        <w:color w:val="auto"/>
      </w:rPr>
    </w:lvl>
    <w:lvl w:ilvl="2">
      <w:start w:val="1"/>
      <w:numFmt w:val="decimal"/>
      <w:lvlText w:val="%3)"/>
      <w:lvlJc w:val="left"/>
      <w:pPr>
        <w:tabs>
          <w:tab w:val="num" w:pos="0"/>
        </w:tabs>
        <w:ind w:left="1077" w:hanging="360"/>
      </w:pPr>
      <w:rPr>
        <w:dstrike w:val="false"/>
        <w:strike w:val="false"/>
        <w:sz w:val="20"/>
        <w:i w:val="false"/>
        <w:u w:val="none"/>
        <w:b/>
        <w:szCs w:val="20"/>
        <w:iCs w:val="false"/>
        <w:bCs/>
        <w:rFonts w:ascii="Times New Roman" w:hAnsi="Times New Roman" w:cs="Times New Roman"/>
        <w:color w:val="auto"/>
      </w:rPr>
    </w:lvl>
    <w:lvl w:ilvl="3">
      <w:start w:val="1"/>
      <w:numFmt w:val="decimal"/>
      <w:lvlText w:val="%4)"/>
      <w:lvlJc w:val="left"/>
      <w:pPr>
        <w:tabs>
          <w:tab w:val="num" w:pos="0"/>
        </w:tabs>
        <w:ind w:left="1437" w:hanging="360"/>
      </w:pPr>
      <w:rPr>
        <w:dstrike w:val="false"/>
        <w:strike w:val="false"/>
        <w:sz w:val="20"/>
        <w:i w:val="false"/>
        <w:u w:val="none"/>
        <w:b/>
        <w:szCs w:val="20"/>
        <w:iCs w:val="false"/>
        <w:bCs/>
        <w:rFonts w:ascii="Times New Roman" w:hAnsi="Times New Roman" w:cs="Times New Roman"/>
        <w:color w:val="auto"/>
      </w:rPr>
    </w:lvl>
    <w:lvl w:ilvl="4">
      <w:start w:val="1"/>
      <w:numFmt w:val="decimal"/>
      <w:lvlText w:val="%5)"/>
      <w:lvlJc w:val="left"/>
      <w:pPr>
        <w:tabs>
          <w:tab w:val="num" w:pos="0"/>
        </w:tabs>
        <w:ind w:left="1797" w:hanging="360"/>
      </w:pPr>
      <w:rPr>
        <w:dstrike w:val="false"/>
        <w:strike w:val="false"/>
        <w:sz w:val="20"/>
        <w:i w:val="false"/>
        <w:u w:val="none"/>
        <w:b/>
        <w:szCs w:val="20"/>
        <w:iCs w:val="false"/>
        <w:bCs/>
        <w:rFonts w:ascii="Times New Roman" w:hAnsi="Times New Roman" w:cs="Times New Roman"/>
        <w:color w:val="auto"/>
      </w:rPr>
    </w:lvl>
    <w:lvl w:ilvl="5">
      <w:start w:val="1"/>
      <w:numFmt w:val="decimal"/>
      <w:lvlText w:val="%6)"/>
      <w:lvlJc w:val="left"/>
      <w:pPr>
        <w:tabs>
          <w:tab w:val="num" w:pos="0"/>
        </w:tabs>
        <w:ind w:left="2157" w:hanging="360"/>
      </w:pPr>
      <w:rPr>
        <w:dstrike w:val="false"/>
        <w:strike w:val="false"/>
        <w:sz w:val="20"/>
        <w:i w:val="false"/>
        <w:u w:val="none"/>
        <w:b/>
        <w:szCs w:val="20"/>
        <w:iCs w:val="false"/>
        <w:bCs/>
        <w:rFonts w:ascii="Times New Roman" w:hAnsi="Times New Roman" w:cs="Times New Roman"/>
        <w:color w:val="auto"/>
      </w:rPr>
    </w:lvl>
    <w:lvl w:ilvl="6">
      <w:start w:val="1"/>
      <w:numFmt w:val="decimal"/>
      <w:lvlText w:val="%7)"/>
      <w:lvlJc w:val="left"/>
      <w:pPr>
        <w:tabs>
          <w:tab w:val="num" w:pos="0"/>
        </w:tabs>
        <w:ind w:left="2517" w:hanging="360"/>
      </w:pPr>
      <w:rPr>
        <w:dstrike w:val="false"/>
        <w:strike w:val="false"/>
        <w:sz w:val="20"/>
        <w:i w:val="false"/>
        <w:u w:val="none"/>
        <w:b/>
        <w:szCs w:val="20"/>
        <w:iCs w:val="false"/>
        <w:bCs/>
        <w:rFonts w:ascii="Times New Roman" w:hAnsi="Times New Roman" w:cs="Times New Roman"/>
        <w:color w:val="auto"/>
      </w:rPr>
    </w:lvl>
    <w:lvl w:ilvl="7">
      <w:start w:val="1"/>
      <w:numFmt w:val="decimal"/>
      <w:lvlText w:val="%8)"/>
      <w:lvlJc w:val="left"/>
      <w:pPr>
        <w:tabs>
          <w:tab w:val="num" w:pos="0"/>
        </w:tabs>
        <w:ind w:left="2877" w:hanging="360"/>
      </w:pPr>
      <w:rPr>
        <w:dstrike w:val="false"/>
        <w:strike w:val="false"/>
        <w:sz w:val="20"/>
        <w:i w:val="false"/>
        <w:u w:val="none"/>
        <w:b/>
        <w:szCs w:val="20"/>
        <w:iCs w:val="false"/>
        <w:bCs/>
        <w:rFonts w:ascii="Times New Roman" w:hAnsi="Times New Roman" w:cs="Times New Roman"/>
        <w:color w:val="auto"/>
      </w:rPr>
    </w:lvl>
    <w:lvl w:ilvl="8">
      <w:start w:val="1"/>
      <w:numFmt w:val="decimal"/>
      <w:lvlText w:val="%9)"/>
      <w:lvlJc w:val="left"/>
      <w:pPr>
        <w:tabs>
          <w:tab w:val="num" w:pos="0"/>
        </w:tabs>
        <w:ind w:left="3237" w:hanging="360"/>
      </w:pPr>
      <w:rPr>
        <w:dstrike w:val="false"/>
        <w:strike w:val="false"/>
        <w:sz w:val="20"/>
        <w:i w:val="false"/>
        <w:u w:val="none"/>
        <w:b/>
        <w:szCs w:val="20"/>
        <w:iCs w:val="false"/>
        <w:bCs/>
        <w:rFonts w:ascii="Times New Roman" w:hAnsi="Times New Roman" w:cs="Times New Roman"/>
        <w:color w:val="auto"/>
      </w:rPr>
    </w:lvl>
  </w:abstractNum>
  <w:abstractNum w:abstractNumId="10">
    <w:lvl w:ilvl="0">
      <w:start w:val="1"/>
      <w:numFmt w:val="decimal"/>
      <w:lvlText w:val="%1)"/>
      <w:lvlJc w:val="left"/>
      <w:pPr>
        <w:tabs>
          <w:tab w:val="num" w:pos="0"/>
        </w:tabs>
        <w:ind w:left="717"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717" w:hanging="360"/>
      </w:pPr>
      <w:rPr>
        <w:dstrike w:val="false"/>
        <w:strike w:val="false"/>
        <w:sz w:val="20"/>
        <w:i w:val="false"/>
        <w:u w:val="none"/>
        <w:b/>
        <w:szCs w:val="20"/>
        <w:iCs w:val="false"/>
        <w:bCs/>
        <w:rFonts w:ascii="Times New Roman" w:hAnsi="Times New Roman" w:cs="Times New Roman"/>
        <w:color w:val="auto"/>
      </w:rPr>
    </w:lvl>
    <w:lvl w:ilvl="2">
      <w:start w:val="1"/>
      <w:numFmt w:val="decimal"/>
      <w:lvlText w:val="%3)"/>
      <w:lvlJc w:val="left"/>
      <w:pPr>
        <w:tabs>
          <w:tab w:val="num" w:pos="0"/>
        </w:tabs>
        <w:ind w:left="1077" w:hanging="360"/>
      </w:pPr>
      <w:rPr>
        <w:dstrike w:val="false"/>
        <w:strike w:val="false"/>
        <w:sz w:val="20"/>
        <w:i w:val="false"/>
        <w:u w:val="none"/>
        <w:b/>
        <w:szCs w:val="20"/>
        <w:iCs w:val="false"/>
        <w:bCs/>
        <w:rFonts w:ascii="Times New Roman" w:hAnsi="Times New Roman" w:cs="Times New Roman"/>
        <w:color w:val="auto"/>
      </w:rPr>
    </w:lvl>
    <w:lvl w:ilvl="3">
      <w:start w:val="1"/>
      <w:numFmt w:val="decimal"/>
      <w:lvlText w:val="%4)"/>
      <w:lvlJc w:val="left"/>
      <w:pPr>
        <w:tabs>
          <w:tab w:val="num" w:pos="0"/>
        </w:tabs>
        <w:ind w:left="1437" w:hanging="360"/>
      </w:pPr>
      <w:rPr>
        <w:dstrike w:val="false"/>
        <w:strike w:val="false"/>
        <w:sz w:val="20"/>
        <w:i w:val="false"/>
        <w:u w:val="none"/>
        <w:b/>
        <w:szCs w:val="20"/>
        <w:iCs w:val="false"/>
        <w:bCs/>
        <w:rFonts w:ascii="Times New Roman" w:hAnsi="Times New Roman" w:cs="Times New Roman"/>
        <w:color w:val="auto"/>
      </w:rPr>
    </w:lvl>
    <w:lvl w:ilvl="4">
      <w:start w:val="1"/>
      <w:numFmt w:val="decimal"/>
      <w:lvlText w:val="%5)"/>
      <w:lvlJc w:val="left"/>
      <w:pPr>
        <w:tabs>
          <w:tab w:val="num" w:pos="0"/>
        </w:tabs>
        <w:ind w:left="1797" w:hanging="360"/>
      </w:pPr>
      <w:rPr>
        <w:dstrike w:val="false"/>
        <w:strike w:val="false"/>
        <w:sz w:val="20"/>
        <w:i w:val="false"/>
        <w:u w:val="none"/>
        <w:b/>
        <w:szCs w:val="20"/>
        <w:iCs w:val="false"/>
        <w:bCs/>
        <w:rFonts w:ascii="Times New Roman" w:hAnsi="Times New Roman" w:cs="Times New Roman"/>
        <w:color w:val="auto"/>
      </w:rPr>
    </w:lvl>
    <w:lvl w:ilvl="5">
      <w:start w:val="1"/>
      <w:numFmt w:val="decimal"/>
      <w:lvlText w:val="%6)"/>
      <w:lvlJc w:val="left"/>
      <w:pPr>
        <w:tabs>
          <w:tab w:val="num" w:pos="0"/>
        </w:tabs>
        <w:ind w:left="2157" w:hanging="360"/>
      </w:pPr>
      <w:rPr>
        <w:dstrike w:val="false"/>
        <w:strike w:val="false"/>
        <w:sz w:val="20"/>
        <w:i w:val="false"/>
        <w:u w:val="none"/>
        <w:b/>
        <w:szCs w:val="20"/>
        <w:iCs w:val="false"/>
        <w:bCs/>
        <w:rFonts w:ascii="Times New Roman" w:hAnsi="Times New Roman" w:cs="Times New Roman"/>
        <w:color w:val="auto"/>
      </w:rPr>
    </w:lvl>
    <w:lvl w:ilvl="6">
      <w:start w:val="1"/>
      <w:numFmt w:val="decimal"/>
      <w:lvlText w:val="%7)"/>
      <w:lvlJc w:val="left"/>
      <w:pPr>
        <w:tabs>
          <w:tab w:val="num" w:pos="0"/>
        </w:tabs>
        <w:ind w:left="2517" w:hanging="360"/>
      </w:pPr>
      <w:rPr>
        <w:dstrike w:val="false"/>
        <w:strike w:val="false"/>
        <w:sz w:val="20"/>
        <w:i w:val="false"/>
        <w:u w:val="none"/>
        <w:b/>
        <w:szCs w:val="20"/>
        <w:iCs w:val="false"/>
        <w:bCs/>
        <w:rFonts w:ascii="Times New Roman" w:hAnsi="Times New Roman" w:cs="Times New Roman"/>
        <w:color w:val="auto"/>
      </w:rPr>
    </w:lvl>
    <w:lvl w:ilvl="7">
      <w:start w:val="1"/>
      <w:numFmt w:val="decimal"/>
      <w:lvlText w:val="%8)"/>
      <w:lvlJc w:val="left"/>
      <w:pPr>
        <w:tabs>
          <w:tab w:val="num" w:pos="0"/>
        </w:tabs>
        <w:ind w:left="2877" w:hanging="360"/>
      </w:pPr>
      <w:rPr>
        <w:dstrike w:val="false"/>
        <w:strike w:val="false"/>
        <w:sz w:val="20"/>
        <w:i w:val="false"/>
        <w:u w:val="none"/>
        <w:b/>
        <w:szCs w:val="20"/>
        <w:iCs w:val="false"/>
        <w:bCs/>
        <w:rFonts w:ascii="Times New Roman" w:hAnsi="Times New Roman" w:cs="Times New Roman"/>
        <w:color w:val="auto"/>
      </w:rPr>
    </w:lvl>
    <w:lvl w:ilvl="8">
      <w:start w:val="1"/>
      <w:numFmt w:val="decimal"/>
      <w:lvlText w:val="%9)"/>
      <w:lvlJc w:val="left"/>
      <w:pPr>
        <w:tabs>
          <w:tab w:val="num" w:pos="0"/>
        </w:tabs>
        <w:ind w:left="3237" w:hanging="360"/>
      </w:pPr>
      <w:rPr>
        <w:dstrike w:val="false"/>
        <w:strike w:val="false"/>
        <w:sz w:val="20"/>
        <w:i w:val="false"/>
        <w:u w:val="none"/>
        <w:b/>
        <w:szCs w:val="20"/>
        <w:iCs w:val="false"/>
        <w:bCs/>
        <w:rFonts w:ascii="Times New Roman" w:hAnsi="Times New Roman" w:cs="Times New Roman"/>
        <w:color w:val="auto"/>
      </w:rPr>
    </w:lvl>
  </w:abstractNum>
  <w:abstractNum w:abstractNumId="11">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 w:ilvl="1">
      <w:start w:val="1"/>
      <w:numFmt w:val="bullet"/>
      <w:lvlText w:val=""/>
      <w:lvlJc w:val="left"/>
      <w:pPr>
        <w:tabs>
          <w:tab w:val="num" w:pos="0"/>
        </w:tabs>
        <w:ind w:left="720" w:firstLine="113"/>
      </w:pPr>
      <w:rPr>
        <w:rFonts w:ascii="Symbol" w:hAnsi="Symbol" w:cs="Symbol" w:hint="default"/>
        <w:dstrike w:val="false"/>
        <w:strike w:val="false"/>
        <w:sz w:val="24"/>
        <w:i w:val="false"/>
        <w:u w:val="none"/>
        <w:b w:val="false"/>
        <w:szCs w:val="24"/>
        <w:iCs w:val="false"/>
        <w:bCs w:val="false"/>
        <w:color w:val="auto"/>
      </w:rPr>
    </w:lvl>
    <w:lvl w:ilvl="2">
      <w:start w:val="1"/>
      <w:numFmt w:val="bullet"/>
      <w:lvlText w:val=""/>
      <w:lvlJc w:val="left"/>
      <w:pPr>
        <w:tabs>
          <w:tab w:val="num" w:pos="0"/>
        </w:tabs>
        <w:ind w:left="1080" w:firstLine="113"/>
      </w:pPr>
      <w:rPr>
        <w:rFonts w:ascii="Symbol" w:hAnsi="Symbol" w:cs="Symbol" w:hint="default"/>
        <w:dstrike w:val="false"/>
        <w:strike w:val="false"/>
        <w:sz w:val="24"/>
        <w:i w:val="false"/>
        <w:u w:val="none"/>
        <w:b w:val="false"/>
        <w:szCs w:val="24"/>
        <w:iCs w:val="false"/>
        <w:bCs w:val="false"/>
        <w:color w:val="auto"/>
      </w:rPr>
    </w:lvl>
    <w:lvl w:ilvl="3">
      <w:start w:val="1"/>
      <w:numFmt w:val="lowerLetter"/>
      <w:lvlText w:val="%4)"/>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12">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 w:ilvl="1">
      <w:start w:val="1"/>
      <w:numFmt w:val="bullet"/>
      <w:lvlText w:val=""/>
      <w:lvlJc w:val="left"/>
      <w:pPr>
        <w:tabs>
          <w:tab w:val="num" w:pos="0"/>
        </w:tabs>
        <w:ind w:left="720" w:firstLine="113"/>
      </w:pPr>
      <w:rPr>
        <w:rFonts w:ascii="Symbol" w:hAnsi="Symbol" w:cs="Symbol" w:hint="default"/>
        <w:dstrike w:val="false"/>
        <w:strike w:val="false"/>
        <w:sz w:val="24"/>
        <w:i w:val="false"/>
        <w:u w:val="none"/>
        <w:b w:val="false"/>
        <w:szCs w:val="24"/>
        <w:iCs w:val="false"/>
        <w:bCs w:val="false"/>
        <w:color w:val="auto"/>
      </w:rPr>
    </w:lvl>
    <w:lvl w:ilvl="2">
      <w:start w:val="1"/>
      <w:numFmt w:val="bullet"/>
      <w:lvlText w:val=""/>
      <w:lvlJc w:val="left"/>
      <w:pPr>
        <w:tabs>
          <w:tab w:val="num" w:pos="0"/>
        </w:tabs>
        <w:ind w:left="1080" w:firstLine="113"/>
      </w:pPr>
      <w:rPr>
        <w:rFonts w:ascii="Symbol" w:hAnsi="Symbol" w:cs="Symbol" w:hint="default"/>
        <w:dstrike w:val="false"/>
        <w:strike w:val="false"/>
        <w:sz w:val="24"/>
        <w:i w:val="false"/>
        <w:u w:val="none"/>
        <w:b w:val="false"/>
        <w:szCs w:val="24"/>
        <w:iCs w:val="false"/>
        <w:bCs w:val="false"/>
        <w:color w:val="auto"/>
      </w:rPr>
    </w:lvl>
    <w:lvl w:ilvl="3">
      <w:start w:val="1"/>
      <w:numFmt w:val="lowerLetter"/>
      <w:lvlText w:val="%4)"/>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13">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 w:ilvl="1">
      <w:start w:val="1"/>
      <w:numFmt w:val="bullet"/>
      <w:lvlText w:val=""/>
      <w:lvlJc w:val="left"/>
      <w:pPr>
        <w:tabs>
          <w:tab w:val="num" w:pos="0"/>
        </w:tabs>
        <w:ind w:left="720" w:firstLine="113"/>
      </w:pPr>
      <w:rPr>
        <w:rFonts w:ascii="Symbol" w:hAnsi="Symbol" w:cs="Symbol" w:hint="default"/>
        <w:dstrike w:val="false"/>
        <w:strike w:val="false"/>
        <w:sz w:val="24"/>
        <w:i w:val="false"/>
        <w:u w:val="none"/>
        <w:b w:val="false"/>
        <w:szCs w:val="24"/>
        <w:iCs w:val="false"/>
        <w:bCs w:val="false"/>
        <w:color w:val="auto"/>
      </w:rPr>
    </w:lvl>
    <w:lvl w:ilvl="2">
      <w:start w:val="1"/>
      <w:numFmt w:val="bullet"/>
      <w:lvlText w:val=""/>
      <w:lvlJc w:val="left"/>
      <w:pPr>
        <w:tabs>
          <w:tab w:val="num" w:pos="0"/>
        </w:tabs>
        <w:ind w:left="1080" w:firstLine="113"/>
      </w:pPr>
      <w:rPr>
        <w:rFonts w:ascii="Symbol" w:hAnsi="Symbol" w:cs="Symbol" w:hint="default"/>
        <w:dstrike w:val="false"/>
        <w:strike w:val="false"/>
        <w:sz w:val="24"/>
        <w:i w:val="false"/>
        <w:u w:val="none"/>
        <w:b w:val="false"/>
        <w:szCs w:val="24"/>
        <w:iCs w:val="false"/>
        <w:bCs w:val="false"/>
        <w:color w:val="auto"/>
      </w:rPr>
    </w:lvl>
    <w:lvl w:ilvl="3">
      <w:start w:val="1"/>
      <w:numFmt w:val="lowerLetter"/>
      <w:lvlText w:val="%4)"/>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lowerLetter"/>
      <w:lvlText w:val="%5)"/>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lowerLetter"/>
      <w:lvlText w:val="%6)"/>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lowerLetter"/>
      <w:lvlText w:val="%7)"/>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lowerLetter"/>
      <w:lvlText w:val="%8)"/>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lowerLetter"/>
      <w:lvlText w:val="%9)"/>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abstractNum>
  <w:abstractNum w:abstractNumId="14">
    <w:lvl w:ilvl="0">
      <w:start w:val="1"/>
      <w:numFmt w:val="decimal"/>
      <w:lvlText w:val="%1."/>
      <w:lvlJc w:val="left"/>
      <w:pPr>
        <w:tabs>
          <w:tab w:val="num" w:pos="0"/>
        </w:tabs>
        <w:ind w:left="720" w:hanging="360"/>
      </w:pPr>
      <w:rPr>
        <w:dstrike w:val="false"/>
        <w:strike w:val="false"/>
        <w:sz w:val="20"/>
        <w:i w:val="false"/>
        <w:u w:val="none"/>
        <w:b w:val="false"/>
        <w:szCs w:val="20"/>
        <w:iCs w:val="false"/>
        <w:bCs w:val="false"/>
        <w:rFonts w:ascii="Times New Roman" w:hAnsi="Times New Roman" w:cs="Times New Roman"/>
        <w:color w:val="auto"/>
      </w:rPr>
    </w:lvl>
    <w:lvl w:ilvl="1">
      <w:start w:val="1"/>
      <w:numFmt w:val="decimal"/>
      <w:lvlText w:val="%2."/>
      <w:lvlJc w:val="left"/>
      <w:pPr>
        <w:tabs>
          <w:tab w:val="num" w:pos="0"/>
        </w:tabs>
        <w:ind w:left="1080" w:hanging="360"/>
      </w:pPr>
      <w:rPr>
        <w:dstrike w:val="false"/>
        <w:strike w:val="false"/>
        <w:sz w:val="20"/>
        <w:i w:val="false"/>
        <w:u w:val="none"/>
        <w:b w:val="false"/>
        <w:szCs w:val="20"/>
        <w:iCs w:val="false"/>
        <w:bCs w:val="false"/>
        <w:rFonts w:ascii="Times New Roman" w:hAnsi="Times New Roman" w:cs="Times New Roman"/>
        <w:color w:val="auto"/>
      </w:rPr>
    </w:lvl>
    <w:lvl w:ilvl="2">
      <w:start w:val="1"/>
      <w:numFmt w:val="decimal"/>
      <w:lvlText w:val="%3."/>
      <w:lvlJc w:val="left"/>
      <w:pPr>
        <w:tabs>
          <w:tab w:val="num" w:pos="0"/>
        </w:tabs>
        <w:ind w:left="1440" w:hanging="360"/>
      </w:pPr>
      <w:rPr>
        <w:dstrike w:val="false"/>
        <w:strike w:val="false"/>
        <w:sz w:val="20"/>
        <w:i w:val="false"/>
        <w:u w:val="none"/>
        <w:b w:val="false"/>
        <w:szCs w:val="20"/>
        <w:iCs w:val="false"/>
        <w:bCs w:val="false"/>
        <w:rFonts w:ascii="Times New Roman" w:hAnsi="Times New Roman" w:cs="Times New Roman"/>
        <w:color w:val="auto"/>
      </w:rPr>
    </w:lvl>
    <w:lvl w:ilvl="3">
      <w:start w:val="1"/>
      <w:numFmt w:val="decimal"/>
      <w:lvlText w:val="%4."/>
      <w:lvlJc w:val="left"/>
      <w:pPr>
        <w:tabs>
          <w:tab w:val="num" w:pos="0"/>
        </w:tabs>
        <w:ind w:left="1800" w:hanging="360"/>
      </w:pPr>
      <w:rPr>
        <w:dstrike w:val="false"/>
        <w:strike w:val="false"/>
        <w:sz w:val="20"/>
        <w:i w:val="false"/>
        <w:u w:val="none"/>
        <w:b w:val="false"/>
        <w:szCs w:val="20"/>
        <w:iCs w:val="false"/>
        <w:bCs w:val="false"/>
        <w:rFonts w:ascii="Times New Roman" w:hAnsi="Times New Roman" w:cs="Times New Roman"/>
        <w:color w:val="auto"/>
      </w:rPr>
    </w:lvl>
    <w:lvl w:ilvl="4">
      <w:start w:val="1"/>
      <w:numFmt w:val="decimal"/>
      <w:lvlText w:val="%5."/>
      <w:lvlJc w:val="left"/>
      <w:pPr>
        <w:tabs>
          <w:tab w:val="num" w:pos="0"/>
        </w:tabs>
        <w:ind w:left="2160" w:hanging="360"/>
      </w:pPr>
      <w:rPr>
        <w:dstrike w:val="false"/>
        <w:strike w:val="false"/>
        <w:sz w:val="20"/>
        <w:i w:val="false"/>
        <w:u w:val="none"/>
        <w:b w:val="false"/>
        <w:szCs w:val="20"/>
        <w:iCs w:val="false"/>
        <w:bCs w:val="false"/>
        <w:rFonts w:ascii="Times New Roman" w:hAnsi="Times New Roman" w:cs="Times New Roman"/>
        <w:color w:val="auto"/>
      </w:rPr>
    </w:lvl>
    <w:lvl w:ilvl="5">
      <w:start w:val="1"/>
      <w:numFmt w:val="decimal"/>
      <w:lvlText w:val="%6."/>
      <w:lvlJc w:val="left"/>
      <w:pPr>
        <w:tabs>
          <w:tab w:val="num" w:pos="0"/>
        </w:tabs>
        <w:ind w:left="2520" w:hanging="360"/>
      </w:pPr>
      <w:rPr>
        <w:dstrike w:val="false"/>
        <w:strike w:val="false"/>
        <w:sz w:val="20"/>
        <w:i w:val="false"/>
        <w:u w:val="none"/>
        <w:b w:val="false"/>
        <w:szCs w:val="20"/>
        <w:iCs w:val="false"/>
        <w:bCs w:val="false"/>
        <w:rFonts w:ascii="Times New Roman" w:hAnsi="Times New Roman" w:cs="Times New Roman"/>
        <w:color w:val="auto"/>
      </w:rPr>
    </w:lvl>
    <w:lvl w:ilvl="6">
      <w:start w:val="1"/>
      <w:numFmt w:val="decimal"/>
      <w:lvlText w:val="%7."/>
      <w:lvlJc w:val="left"/>
      <w:pPr>
        <w:tabs>
          <w:tab w:val="num" w:pos="0"/>
        </w:tabs>
        <w:ind w:left="2880" w:hanging="360"/>
      </w:pPr>
      <w:rPr>
        <w:dstrike w:val="false"/>
        <w:strike w:val="false"/>
        <w:sz w:val="20"/>
        <w:i w:val="false"/>
        <w:u w:val="none"/>
        <w:b w:val="false"/>
        <w:szCs w:val="20"/>
        <w:iCs w:val="false"/>
        <w:bCs w:val="false"/>
        <w:rFonts w:ascii="Times New Roman" w:hAnsi="Times New Roman" w:cs="Times New Roman"/>
        <w:color w:val="auto"/>
      </w:rPr>
    </w:lvl>
    <w:lvl w:ilvl="7">
      <w:start w:val="1"/>
      <w:numFmt w:val="decimal"/>
      <w:lvlText w:val="%8."/>
      <w:lvlJc w:val="left"/>
      <w:pPr>
        <w:tabs>
          <w:tab w:val="num" w:pos="0"/>
        </w:tabs>
        <w:ind w:left="3240" w:hanging="360"/>
      </w:pPr>
      <w:rPr>
        <w:dstrike w:val="false"/>
        <w:strike w:val="false"/>
        <w:sz w:val="20"/>
        <w:i w:val="false"/>
        <w:u w:val="none"/>
        <w:b w:val="false"/>
        <w:szCs w:val="20"/>
        <w:iCs w:val="false"/>
        <w:bCs w:val="false"/>
        <w:rFonts w:ascii="Times New Roman" w:hAnsi="Times New Roman" w:cs="Times New Roman"/>
        <w:color w:val="auto"/>
      </w:rPr>
    </w:lvl>
    <w:lvl w:ilvl="8">
      <w:start w:val="1"/>
      <w:numFmt w:val="decimal"/>
      <w:lvlText w:val="%9."/>
      <w:lvlJc w:val="left"/>
      <w:pPr>
        <w:tabs>
          <w:tab w:val="num" w:pos="0"/>
        </w:tabs>
        <w:ind w:left="3600" w:hanging="360"/>
      </w:pPr>
      <w:rPr>
        <w:dstrike w:val="false"/>
        <w:strike w:val="false"/>
        <w:sz w:val="20"/>
        <w:i w:val="false"/>
        <w:u w:val="none"/>
        <w:b w:val="false"/>
        <w:szCs w:val="20"/>
        <w:iCs w:val="false"/>
        <w:bCs w:val="false"/>
        <w:rFonts w:ascii="Times New Roman" w:hAnsi="Times New Roman" w:cs="Times New Roman"/>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2"/>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6">
    <w:abstractNumId w:val="2"/>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7">
    <w:abstractNumId w:val="2"/>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8">
    <w:abstractNumId w:val="2"/>
    <w:lvlOverride w:ilvl="0">
      <w:lvl w:ilvl="0">
        <w:start w:val="1"/>
        <w:numFmt w:val="bullet"/>
        <w:lvlText w:val=""/>
        <w:lvlJc w:val="left"/>
        <w:pPr>
          <w:tabs>
            <w:tab w:val="num" w:pos="0"/>
          </w:tabs>
          <w:ind w:left="473" w:firstLine="113"/>
        </w:pPr>
        <w:rPr>
          <w:rFonts w:ascii="Symbol" w:hAnsi="Symbol" w:cs="Symbol" w:hint="default"/>
          <w:dstrike w:val="false"/>
          <w:strike w:val="false"/>
          <w:sz w:val="24"/>
          <w:i w:val="false"/>
          <w:u w:val="none"/>
          <w:b w:val="false"/>
          <w:szCs w:val="24"/>
          <w:iCs w:val="false"/>
          <w:bCs w:val="false"/>
          <w:color w:val="auto"/>
        </w:rPr>
      </w:lvl>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9"/>
  </w:num>
  <w:num w:numId="28">
    <w:abstractNumId w:val="9"/>
  </w:num>
  <w:num w:numId="29">
    <w:abstractNumId w:val="2"/>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0">
    <w:abstractNumId w:val="2"/>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1">
    <w:abstractNumId w:val="2"/>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2">
    <w:abstractNumId w:val="2"/>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 w:numId="33">
    <w:abstractNumId w:val="2"/>
    <w:lvlOverride w:ilvl="0">
      <w:lvl w:ilvl="0">
        <w:start w:val="1"/>
        <w:numFmt w:val="bullet"/>
        <w:lvlText w:val=""/>
        <w:lvlJc w:val="left"/>
        <w:pPr>
          <w:tabs>
            <w:tab w:val="num" w:pos="0"/>
          </w:tabs>
          <w:ind w:left="720" w:hanging="360"/>
        </w:pPr>
        <w:rPr>
          <w:rFonts w:ascii="Symbol" w:hAnsi="Symbol" w:cs="Symbol" w:hint="default"/>
          <w:dstrike w:val="false"/>
          <w:strike w:val="false"/>
          <w:sz w:val="24"/>
          <w:i w:val="false"/>
          <w:u w:val="none"/>
          <w:b w:val="false"/>
          <w:szCs w:val="24"/>
          <w:iCs w:val="false"/>
          <w:bCs w:val="false"/>
          <w:color w:val="auto"/>
        </w:rPr>
      </w:lvl>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ind w:left="357" w:hanging="0"/>
      <w:jc w:val="both"/>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766bed"/>
    <w:rPr>
      <w:rFonts w:ascii="Times New Roman" w:hAnsi="Times New Roman" w:cs="Times New Roman"/>
      <w:sz w:val="24"/>
      <w:szCs w:val="24"/>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rmal1" w:customStyle="1">
    <w:name w:val="[Normal]"/>
    <w:uiPriority w:val="99"/>
    <w:qFormat/>
    <w:rsid w:val="00766bed"/>
    <w:pPr>
      <w:widowControl w:val="false"/>
      <w:bidi w:val="0"/>
      <w:spacing w:before="0" w:after="0"/>
      <w:ind w:left="0" w:hanging="0"/>
      <w:jc w:val="left"/>
    </w:pPr>
    <w:rPr>
      <w:rFonts w:ascii="Arial" w:hAnsi="Arial" w:cs="Arial" w:eastAsia="Calibri" w:eastAsiaTheme="minorHAnsi"/>
      <w:color w:val="auto"/>
      <w:kern w:val="0"/>
      <w:sz w:val="24"/>
      <w:szCs w:val="24"/>
      <w:lang w:val="pl-PL" w:eastAsia="en-US" w:bidi="ar-SA"/>
    </w:rPr>
  </w:style>
  <w:style w:type="paragraph" w:styleId="Gwkaistopka">
    <w:name w:val="Główka i stopka"/>
    <w:basedOn w:val="Normal"/>
    <w:qFormat/>
    <w:pPr/>
    <w:rPr/>
  </w:style>
  <w:style w:type="paragraph" w:styleId="Stopka">
    <w:name w:val="Footer"/>
    <w:basedOn w:val="Normal"/>
    <w:link w:val="StopkaZnak"/>
    <w:uiPriority w:val="99"/>
    <w:rsid w:val="00766bed"/>
    <w:pPr>
      <w:tabs>
        <w:tab w:val="clear" w:pos="708"/>
        <w:tab w:val="center" w:pos="4536" w:leader="none"/>
        <w:tab w:val="right" w:pos="9072" w:leader="none"/>
      </w:tabs>
      <w:ind w:left="0" w:hanging="0"/>
      <w:jc w:val="left"/>
    </w:pPr>
    <w:rPr>
      <w:rFonts w:ascii="Times New Roman" w:hAnsi="Times New Roman" w:cs="Times New Roman"/>
      <w:sz w:val="24"/>
      <w:szCs w:val="24"/>
    </w:rPr>
  </w:style>
  <w:style w:type="paragraph" w:styleId="ListParagraph">
    <w:name w:val="List Paragraph"/>
    <w:basedOn w:val="Normal"/>
    <w:uiPriority w:val="99"/>
    <w:qFormat/>
    <w:rsid w:val="00766bed"/>
    <w:pPr>
      <w:ind w:left="720" w:hanging="357"/>
    </w:pPr>
    <w:rPr>
      <w:rFonts w:ascii="Calibri" w:hAnsi="Calibri" w:cs="Calibri"/>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LibreOffice/7.1.4.2$Windows_X86_64 LibreOffice_project/a529a4fab45b75fefc5b6226684193eb000654f6</Application>
  <AppVersion>15.0000</AppVersion>
  <Pages>12</Pages>
  <Words>4780</Words>
  <Characters>27015</Characters>
  <CharactersWithSpaces>31711</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2022-07-11T11:11:00Z</dcterms:created>
  <dc:creator>Ula</dc:creator>
  <dc:description/>
  <dc:language>pl-PL</dc:language>
  <cp:lastModifiedBy>Ula</cp:lastModifiedBy>
  <cp:lastPrinted>2022-07-21T14:50:28Z</cp:lastPrinted>
  <dcterms:modified xsi:type="dcterms:W3CDTF">2022-07-11T11:12:00Z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