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uppressAutoHyphens w:val="false"/>
        <w:spacing w:lineRule="auto" w:line="360"/>
        <w:rPr>
          <w:rFonts w:ascii="Calibri" w:hAnsi="Calibri" w:cs="Calibri" w:asciiTheme="minorHAnsi" w:cstheme="minorHAnsi" w:hAnsiTheme="minorHAnsi"/>
        </w:rPr>
      </w:pPr>
      <w:r>
        <w:rPr>
          <w:rFonts w:cs="Calibri" w:ascii="Calibri" w:hAnsi="Calibri" w:asciiTheme="minorHAnsi" w:cstheme="minorHAnsi" w:hAnsiTheme="minorHAnsi"/>
        </w:rPr>
        <w:t xml:space="preserve">ZARZĄDZENIE NR 597/20 WÓJTA GMINY NOWA RUDA z dnia 30 listopada 2020 </w:t>
      </w:r>
      <w:r>
        <w:rPr/>
        <w:t>roku</w:t>
        <w:br/>
        <w:t>w</w:t>
      </w:r>
      <w:r>
        <w:rPr>
          <w:rFonts w:cs="Calibri" w:ascii="Calibri" w:hAnsi="Calibri" w:asciiTheme="minorHAnsi" w:cstheme="minorHAnsi" w:hAnsiTheme="minorHAnsi"/>
        </w:rPr>
        <w:t xml:space="preserve"> sprawie sprzedaży w drodze II ustnego przetargu nieograniczonego nieruchomości stanowiącej własność Gminy Nowa Ruda. </w:t>
      </w:r>
    </w:p>
    <w:p>
      <w:pPr>
        <w:pStyle w:val="Normal"/>
        <w:suppressAutoHyphens w:val="false"/>
        <w:spacing w:lineRule="auto" w:line="360"/>
        <w:rPr/>
      </w:pPr>
      <w:r>
        <w:rPr>
          <w:rFonts w:cs="Calibri" w:ascii="Calibri" w:hAnsi="Calibri" w:asciiTheme="minorHAnsi" w:cstheme="minorHAnsi" w:hAnsiTheme="minorHAnsi"/>
        </w:rPr>
        <w:t>Na podstawie art.30 ust.2 pkt.3 ustawy z dnia 8 marca 1990 roku o samorządzie gminnym (t.j. Dz.U. z 2020 r., poz. 713, zm. poz. 1378 ), art.13 ust.1, art.25 ust.1, art.37 ust.1, art.38, art.39 ust.1, art. 40 ust. 1 pkt 1, ustawy z dnia 21 sierpnia 1997 roku o gospodarce nieruchomościami (t.j. Dz.U. z 2020r. poz. 1990) Rozporządzenia Rady Ministrów z dnia 14 września 2004r.w sprawie sposobu i trybu przeprowadzania przetargów oraz rokowań na zbycie nieruchomości (Dz.U. z 2014r. poz. 1490) oraz §4 §6 Uchwały Nr 252/XXXIII/13 Rady Gminy Nowa Ruda z dnia 29 stycznia 2013roku w sprawie zasad gospodarowania nieruchomościami stanowiącymi własność Gminy Nowa Ruda (Dziennik Urzędowy Województwa Dolnośląskiego z dnia 14 marca 2013 roku, poz. 1851 zm. z 2014r. poz. 1824 i poz. 2953, z 2015r. poz. 4379 oraz 2016r. poz.1665 i poz. 4413, zm. 2020r. poz. 313),</w:t>
        <w:br/>
        <w:t xml:space="preserve"> Wójt Gminy Nowa Ruda z a r z ą d z a , co następuje :</w:t>
        <w:br/>
        <w:t>§ 1. Ustala się warunki sprzedaży lokalu mieszkalnego nr 3 położonego w budynku mieszkalnym w Dworkach nr 29, w granicach działki nr 35 o pow. 1500m</w:t>
      </w:r>
      <w:r>
        <w:rPr>
          <w:rFonts w:cs="Calibri" w:ascii="Calibri" w:hAnsi="Calibri" w:asciiTheme="minorHAnsi" w:cstheme="minorHAnsi" w:hAnsiTheme="minorHAnsi"/>
          <w:vertAlign w:val="superscript"/>
        </w:rPr>
        <w:t>2</w:t>
      </w:r>
      <w:r>
        <w:rPr>
          <w:rFonts w:cs="Calibri" w:ascii="Calibri" w:hAnsi="Calibri" w:asciiTheme="minorHAnsi" w:cstheme="minorHAnsi" w:hAnsiTheme="minorHAnsi"/>
        </w:rPr>
        <w:t xml:space="preserve">, Kw nr SW2K/00026619/6, stanowiącego własność Gminy Nowa Ruda, w drodze II przetargu ustnego nieograniczonego, będące załącznikiem do zarządzenia. </w:t>
        <w:br/>
        <w:t>§ 2. Ogłoszenie o przetargu wywiesza się na tablicy ogłoszeń w Urzędzie Gminy Nowa Ruda, ul. Niepodległości nr 2, informację o ogłoszeniu przetargu podaje się do publicznej wiadomości na tablicy ogłoszeń Sołectwa Dworki, a także na stronach internetowych Urzędu Gminy Nowa Ruda oraz w Biuletynie Informacji Publicznej Gminy Nowa Ruda.</w:t>
        <w:br/>
        <w:t>§ 3. Wykonanie zarządzenia powierza się kierownikowi Referatu Gospodarki Nieruchomościami i Geodezji.</w:t>
        <w:br/>
        <w:t>§ 4. Zarządzenie wchodzi w życie z dniem wydania.</w:t>
        <w:br/>
      </w:r>
    </w:p>
    <w:p>
      <w:pPr>
        <w:pStyle w:val="Standard"/>
        <w:tabs>
          <w:tab w:val="clear" w:pos="708"/>
          <w:tab w:val="left" w:pos="7371" w:leader="none"/>
        </w:tabs>
        <w:spacing w:lineRule="auto" w:line="360"/>
        <w:jc w:val="right"/>
        <w:rPr>
          <w:rFonts w:ascii="Calibri" w:hAnsi="Calibri" w:cs="Calibri" w:asciiTheme="minorHAnsi" w:cstheme="minorHAnsi" w:hAnsiTheme="minorHAnsi"/>
          <w:b/>
          <w:b/>
          <w:bCs/>
        </w:rPr>
      </w:pPr>
      <w:r>
        <w:rPr>
          <w:rFonts w:cs="Calibri" w:ascii="Calibri" w:hAnsi="Calibri" w:asciiTheme="minorHAnsi" w:cstheme="minorHAnsi" w:hAnsiTheme="minorHAnsi"/>
          <w:b/>
          <w:bCs/>
        </w:rPr>
        <w:t>/Adrianna Mierzejewska – Wójt Gminy Nowa Ruda/</w:t>
      </w:r>
    </w:p>
    <w:p>
      <w:pPr>
        <w:pStyle w:val="Normal"/>
        <w:suppressAutoHyphens w:val="false"/>
        <w:spacing w:lineRule="auto" w:line="360"/>
        <w:rPr/>
      </w:pPr>
      <w:r>
        <w:rPr/>
      </w:r>
      <w:r>
        <w:br w:type="page"/>
      </w:r>
    </w:p>
    <w:p>
      <w:pPr>
        <w:pStyle w:val="Normal"/>
        <w:suppressAutoHyphens w:val="false"/>
        <w:spacing w:lineRule="auto" w:line="360"/>
        <w:rPr>
          <w:rFonts w:ascii="Calibri" w:hAnsi="Calibri" w:asciiTheme="minorHAnsi" w:hAnsiTheme="minorHAnsi"/>
        </w:rPr>
      </w:pPr>
      <w:r>
        <w:rPr>
          <w:rFonts w:ascii="Calibri" w:hAnsi="Calibri" w:asciiTheme="minorHAnsi" w:hAnsiTheme="minorHAnsi"/>
        </w:rPr>
        <w:t xml:space="preserve">Załącznik do Zarządzenia </w:t>
        <w:br/>
        <w:t>Wójta Gminy Nowa Ruda</w:t>
        <w:br/>
        <w:t>Nr 597/20 z dnia 30.11.2020r.</w:t>
      </w:r>
    </w:p>
    <w:p>
      <w:pPr>
        <w:pStyle w:val="Normal"/>
        <w:tabs>
          <w:tab w:val="clear" w:pos="708"/>
          <w:tab w:val="left" w:pos="7371" w:leader="none"/>
        </w:tabs>
        <w:spacing w:lineRule="auto" w:line="360"/>
        <w:jc w:val="both"/>
        <w:rPr>
          <w:rFonts w:ascii="Calibri" w:hAnsi="Calibri" w:eastAsia="Times New Roman" w:asciiTheme="minorHAnsi" w:hAnsiTheme="minorHAnsi"/>
          <w:b/>
          <w:b/>
          <w:bCs/>
        </w:rPr>
      </w:pPr>
      <w:r>
        <w:rPr>
          <w:rFonts w:eastAsia="Times New Roman" w:ascii="Calibri" w:hAnsi="Calibri" w:asciiTheme="minorHAnsi" w:hAnsiTheme="minorHAnsi"/>
          <w:b/>
          <w:bCs/>
        </w:rPr>
        <w:t>Wójt Gminy Nowa Ruda ogłasza II przetarg ustny nieograniczony na sprzedaż niżej wymienionej nieruchomości</w:t>
      </w:r>
    </w:p>
    <w:p>
      <w:pPr>
        <w:pStyle w:val="Normal"/>
        <w:tabs>
          <w:tab w:val="clear" w:pos="708"/>
          <w:tab w:val="left" w:pos="7371" w:leader="none"/>
        </w:tabs>
        <w:spacing w:lineRule="auto" w:line="360"/>
        <w:jc w:val="both"/>
        <w:rPr>
          <w:rFonts w:ascii="Calibri" w:hAnsi="Calibri" w:eastAsia="Times New Roman" w:cs="Calibri" w:asciiTheme="minorHAnsi" w:cstheme="minorHAnsi" w:hAnsiTheme="minorHAnsi"/>
          <w:b/>
          <w:b/>
          <w:bCs/>
        </w:rPr>
      </w:pPr>
      <w:r>
        <w:rPr>
          <w:rFonts w:eastAsia="Times New Roman" w:cs="Calibri" w:ascii="Calibri" w:hAnsi="Calibri" w:asciiTheme="minorHAnsi" w:cstheme="minorHAnsi" w:hAnsiTheme="minorHAnsi"/>
          <w:b/>
          <w:bCs/>
        </w:rPr>
        <w:t>Położenie nieruchomości:</w:t>
      </w:r>
      <w:r>
        <w:rPr>
          <w:rFonts w:eastAsia="Times New Roman" w:cs="Calibri" w:ascii="Calibri" w:hAnsi="Calibri" w:asciiTheme="minorHAnsi" w:cstheme="minorHAnsi" w:hAnsiTheme="minorHAnsi"/>
        </w:rPr>
        <w:t xml:space="preserve"> </w:t>
      </w:r>
      <w:r>
        <w:rPr>
          <w:rFonts w:eastAsia="Times New Roman" w:cs="Calibri" w:ascii="Calibri" w:hAnsi="Calibri" w:asciiTheme="minorHAnsi" w:cstheme="minorHAnsi" w:hAnsiTheme="minorHAnsi"/>
          <w:b/>
          <w:bCs/>
        </w:rPr>
        <w:t xml:space="preserve">Dworki nr 29 </w:t>
      </w:r>
    </w:p>
    <w:p>
      <w:pPr>
        <w:pStyle w:val="Normal"/>
        <w:tabs>
          <w:tab w:val="clear" w:pos="708"/>
          <w:tab w:val="left" w:pos="7371" w:leader="none"/>
        </w:tabs>
        <w:spacing w:lineRule="auto" w:line="360"/>
        <w:jc w:val="both"/>
        <w:rPr>
          <w:rFonts w:ascii="Calibri" w:hAnsi="Calibri" w:eastAsia="Times New Roman" w:cs="Calibri" w:asciiTheme="minorHAnsi" w:cstheme="minorHAnsi" w:hAnsiTheme="minorHAnsi"/>
          <w:b/>
          <w:b/>
          <w:bCs/>
        </w:rPr>
      </w:pPr>
      <w:r>
        <w:rPr>
          <w:rFonts w:eastAsia="Times New Roman" w:cs="Calibri" w:ascii="Calibri" w:hAnsi="Calibri" w:asciiTheme="minorHAnsi" w:cstheme="minorHAnsi" w:hAnsiTheme="minorHAnsi"/>
          <w:b/>
          <w:bCs/>
        </w:rPr>
        <w:t>Numer działki: 35</w:t>
      </w:r>
    </w:p>
    <w:p>
      <w:pPr>
        <w:pStyle w:val="Normal"/>
        <w:tabs>
          <w:tab w:val="clear" w:pos="708"/>
          <w:tab w:val="left" w:pos="7371" w:leader="none"/>
        </w:tabs>
        <w:spacing w:lineRule="auto" w:line="360"/>
        <w:jc w:val="both"/>
        <w:rPr>
          <w:rFonts w:ascii="Calibri" w:hAnsi="Calibri" w:eastAsia="Times New Roman" w:cs="Calibri" w:asciiTheme="minorHAnsi" w:cstheme="minorHAnsi" w:hAnsiTheme="minorHAnsi"/>
          <w:b/>
          <w:b/>
          <w:bCs/>
          <w:vertAlign w:val="superscript"/>
        </w:rPr>
      </w:pPr>
      <w:r>
        <w:rPr>
          <w:rFonts w:eastAsia="Times New Roman" w:cs="Calibri" w:ascii="Calibri" w:hAnsi="Calibri" w:asciiTheme="minorHAnsi" w:cstheme="minorHAnsi" w:hAnsiTheme="minorHAnsi"/>
          <w:b/>
          <w:bCs/>
        </w:rPr>
        <w:t>Powierzchnia ogólna nieruchomości: 1500 m</w:t>
      </w:r>
      <w:r>
        <w:rPr>
          <w:rFonts w:eastAsia="Times New Roman" w:cs="Calibri" w:ascii="Calibri" w:hAnsi="Calibri" w:asciiTheme="minorHAnsi" w:cstheme="minorHAnsi" w:hAnsiTheme="minorHAnsi"/>
          <w:b/>
          <w:bCs/>
          <w:vertAlign w:val="superscript"/>
        </w:rPr>
        <w:t>2</w:t>
      </w:r>
    </w:p>
    <w:p>
      <w:pPr>
        <w:pStyle w:val="Normal"/>
        <w:tabs>
          <w:tab w:val="clear" w:pos="708"/>
          <w:tab w:val="left" w:pos="7371" w:leader="none"/>
        </w:tabs>
        <w:spacing w:lineRule="auto" w:line="360"/>
        <w:jc w:val="both"/>
        <w:rPr>
          <w:rFonts w:ascii="Calibri" w:hAnsi="Calibri" w:eastAsia="Times New Roman" w:cs="Calibri" w:asciiTheme="minorHAnsi" w:cstheme="minorHAnsi" w:hAnsiTheme="minorHAnsi"/>
          <w:b/>
          <w:b/>
        </w:rPr>
      </w:pPr>
      <w:r>
        <w:rPr>
          <w:rFonts w:eastAsia="Times New Roman" w:cs="Calibri" w:ascii="Calibri" w:hAnsi="Calibri" w:asciiTheme="minorHAnsi" w:cstheme="minorHAnsi" w:hAnsiTheme="minorHAnsi"/>
          <w:b/>
          <w:bCs/>
        </w:rPr>
        <w:t>Numer księgi wieczystej, obciążenia: SW2K/00026619/6 -</w:t>
      </w:r>
      <w:r>
        <w:rPr>
          <w:rFonts w:eastAsia="Times New Roman" w:cs="Calibri" w:ascii="Calibri" w:hAnsi="Calibri" w:asciiTheme="minorHAnsi" w:cstheme="minorHAnsi" w:hAnsiTheme="minorHAnsi"/>
        </w:rPr>
        <w:t xml:space="preserve"> </w:t>
      </w:r>
      <w:r>
        <w:rPr>
          <w:rFonts w:eastAsia="Times New Roman" w:cs="Calibri" w:ascii="Calibri" w:hAnsi="Calibri" w:asciiTheme="minorHAnsi" w:cstheme="minorHAnsi" w:hAnsiTheme="minorHAnsi"/>
          <w:b/>
        </w:rPr>
        <w:t>bez obciążeń</w:t>
      </w:r>
    </w:p>
    <w:p>
      <w:pPr>
        <w:pStyle w:val="Normal"/>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b/>
          <w:bCs/>
        </w:rPr>
        <w:t xml:space="preserve">Opis, przeznaczenie i sposób zagospodarowania nieruchomości: </w:t>
      </w:r>
      <w:r>
        <w:rPr>
          <w:rFonts w:eastAsia="Times New Roman" w:cs="Calibri" w:ascii="Calibri" w:hAnsi="Calibri" w:asciiTheme="minorHAnsi" w:cstheme="minorHAnsi" w:hAnsiTheme="minorHAnsi"/>
        </w:rPr>
        <w:t>lokal mieszkalny nr 3, położony na I parterze budynku mieszkalnego, trzykondygnacyjnego, o 6 lokalach mieszkalnych, wolnostojącego, wielorodzinnego, podpiwniczonego, wybudowanego przed 1945 rokiem. Lokal składa się z: pokoju , kuchni ,łazienki i kotłowni o pow. użytkowej 54,46m</w:t>
      </w:r>
      <w:r>
        <w:rPr>
          <w:rFonts w:eastAsia="Times New Roman" w:cs="Calibri" w:ascii="Calibri" w:hAnsi="Calibri" w:asciiTheme="minorHAnsi" w:cstheme="minorHAnsi" w:hAnsiTheme="minorHAnsi"/>
          <w:vertAlign w:val="superscript"/>
        </w:rPr>
        <w:t xml:space="preserve">2 </w:t>
      </w:r>
      <w:r>
        <w:rPr>
          <w:rFonts w:eastAsia="Times New Roman" w:cs="Calibri" w:ascii="Calibri" w:hAnsi="Calibri" w:asciiTheme="minorHAnsi" w:cstheme="minorHAnsi" w:hAnsiTheme="minorHAnsi"/>
        </w:rPr>
        <w:t>. Do pomieszczeń przynależnych zaliczono: piwnicę o pow. 1,58m</w:t>
      </w:r>
      <w:r>
        <w:rPr>
          <w:rFonts w:eastAsia="Times New Roman" w:cs="Calibri" w:ascii="Calibri" w:hAnsi="Calibri" w:asciiTheme="minorHAnsi" w:cstheme="minorHAnsi" w:hAnsiTheme="minorHAnsi"/>
          <w:vertAlign w:val="superscript"/>
        </w:rPr>
        <w:t>2</w:t>
      </w:r>
      <w:r>
        <w:rPr>
          <w:rFonts w:eastAsia="Times New Roman" w:cs="Calibri" w:ascii="Calibri" w:hAnsi="Calibri" w:asciiTheme="minorHAnsi" w:cstheme="minorHAnsi" w:hAnsiTheme="minorHAnsi"/>
        </w:rPr>
        <w:t xml:space="preserve"> i pomieszczenia gospodarczego poza budynkiem o pow. 6,13m</w:t>
      </w:r>
      <w:r>
        <w:rPr>
          <w:rFonts w:eastAsia="Times New Roman" w:cs="Calibri" w:ascii="Calibri" w:hAnsi="Calibri" w:asciiTheme="minorHAnsi" w:cstheme="minorHAnsi" w:hAnsiTheme="minorHAnsi"/>
          <w:vertAlign w:val="superscript"/>
        </w:rPr>
        <w:t>2</w:t>
      </w:r>
      <w:r>
        <w:rPr>
          <w:rFonts w:eastAsia="Times New Roman" w:cs="Calibri" w:ascii="Calibri" w:hAnsi="Calibri" w:asciiTheme="minorHAnsi" w:cstheme="minorHAnsi" w:hAnsiTheme="minorHAnsi"/>
        </w:rPr>
        <w:t xml:space="preserve"> w budynku gospodarczym . Udział lokalu w nieruchomości wspólnej wynosi 2251/10000cz. Lokal wyposażony jest w instalację elektryczną, wodno-kanalizacyjną bezodpływową, CO. Zgodnie ze Studium uwarunkowań i zagospodarowania przestrzennego Gminy Nowa Ruda działka nr 35 o pow. 1500m</w:t>
      </w:r>
      <w:r>
        <w:rPr>
          <w:rFonts w:eastAsia="Times New Roman" w:cs="Calibri" w:ascii="Calibri" w:hAnsi="Calibri" w:asciiTheme="minorHAnsi" w:cstheme="minorHAnsi" w:hAnsiTheme="minorHAnsi"/>
          <w:vertAlign w:val="superscript"/>
        </w:rPr>
        <w:t>2</w:t>
      </w:r>
      <w:r>
        <w:rPr>
          <w:rFonts w:eastAsia="Times New Roman" w:cs="Calibri" w:ascii="Calibri" w:hAnsi="Calibri" w:asciiTheme="minorHAnsi" w:cstheme="minorHAnsi" w:hAnsiTheme="minorHAnsi"/>
        </w:rPr>
        <w:t xml:space="preserve"> przeznaczona jest na cele zabudowy mieszkaniowej jednorodzinnej lub zagrodowej oraz obiektów usług nie kolidujących z funkcją mieszkaniową, w części na cele rolnicze. W wypisie z danych ewidencji gruntów i budynków Starosty Kłodzkiego sklasyfikowana jako tereny mieszkaniowe B. Termin do złożenia wniosku przez osoby, którym przysługiwało pierwszeństwo  w nabyciu nieruchomości na podstawie art. 34 ust. 1 pkt 1 i 2 ustawy z dnia 21 sierpnia 1997r. o gospodarce nieruchomościami (Dz.U. z 2020r. poz. 1990) upłynął w dniu 20.06.2020r. Pierwszy przetarg ustny nieograniczony ogłoszony na dzień 14.08.2020r. zakończył się wynikiem negatywnym z powodu braku nabywcy.</w:t>
      </w:r>
    </w:p>
    <w:p>
      <w:pPr>
        <w:pStyle w:val="Normal"/>
        <w:tabs>
          <w:tab w:val="clear" w:pos="708"/>
          <w:tab w:val="left" w:pos="7371" w:leader="none"/>
        </w:tabs>
        <w:spacing w:lineRule="auto" w:line="360"/>
        <w:jc w:val="both"/>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b/>
          <w:bCs/>
        </w:rPr>
        <w:t>Zobowiązania, których przedmiotem jest nieruchomość: brak</w:t>
      </w:r>
    </w:p>
    <w:p>
      <w:pPr>
        <w:pStyle w:val="Normal"/>
        <w:tabs>
          <w:tab w:val="clear" w:pos="708"/>
          <w:tab w:val="left" w:pos="7371" w:leader="none"/>
        </w:tabs>
        <w:spacing w:lineRule="auto" w:line="360"/>
        <w:jc w:val="both"/>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b/>
          <w:bCs/>
        </w:rPr>
        <w:t>Cena wywoławcza nieruchomości: 57 000,00zł</w:t>
      </w:r>
      <w:r>
        <w:rPr>
          <w:rFonts w:eastAsia="Times New Roman" w:cs="Calibri" w:ascii="Calibri" w:hAnsi="Calibri" w:asciiTheme="minorHAnsi" w:cstheme="minorHAnsi" w:hAnsiTheme="minorHAnsi"/>
        </w:rPr>
        <w:t xml:space="preserve"> </w:t>
      </w:r>
    </w:p>
    <w:p>
      <w:pPr>
        <w:pStyle w:val="Normal"/>
        <w:tabs>
          <w:tab w:val="clear" w:pos="708"/>
          <w:tab w:val="left" w:pos="7371" w:leader="none"/>
        </w:tabs>
        <w:spacing w:lineRule="auto" w:line="360"/>
        <w:jc w:val="both"/>
        <w:rPr>
          <w:rFonts w:ascii="Calibri" w:hAnsi="Calibri" w:eastAsia="Times New Roman" w:cs="Calibri" w:asciiTheme="minorHAnsi" w:cstheme="minorHAnsi" w:hAnsiTheme="minorHAnsi"/>
          <w:b/>
          <w:b/>
        </w:rPr>
      </w:pPr>
      <w:r>
        <w:rPr>
          <w:rFonts w:eastAsia="Times New Roman" w:cs="Calibri" w:ascii="Calibri" w:hAnsi="Calibri" w:asciiTheme="minorHAnsi" w:cstheme="minorHAnsi" w:hAnsiTheme="minorHAnsi"/>
          <w:b/>
          <w:bCs/>
        </w:rPr>
        <w:t>Wysokość wadium: 11 400,00</w:t>
      </w:r>
      <w:r>
        <w:rPr>
          <w:rFonts w:eastAsia="Times New Roman" w:cs="Calibri" w:ascii="Calibri" w:hAnsi="Calibri" w:asciiTheme="minorHAnsi" w:cstheme="minorHAnsi" w:hAnsiTheme="minorHAnsi"/>
          <w:b/>
        </w:rPr>
        <w:t xml:space="preserve"> zł</w:t>
      </w:r>
    </w:p>
    <w:p>
      <w:pPr>
        <w:pStyle w:val="Normal"/>
        <w:tabs>
          <w:tab w:val="clear" w:pos="708"/>
          <w:tab w:val="left" w:pos="7371" w:leader="none"/>
        </w:tabs>
        <w:spacing w:lineRule="auto" w:line="360"/>
        <w:jc w:val="both"/>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Sprzedaż nieruchomości zwolniona jest od podatku VAT. Cena nabycia nie obejmuje okazania granic nieruchomości.</w:t>
      </w:r>
    </w:p>
    <w:p>
      <w:pPr>
        <w:pStyle w:val="Normal"/>
        <w:tabs>
          <w:tab w:val="clear" w:pos="708"/>
          <w:tab w:val="left" w:pos="7371" w:leader="none"/>
        </w:tabs>
        <w:spacing w:lineRule="auto" w:line="360"/>
        <w:jc w:val="both"/>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 xml:space="preserve">Przetarg odbędzie się w dniu </w:t>
      </w:r>
      <w:r>
        <w:rPr>
          <w:rFonts w:eastAsia="Times New Roman" w:cs="Calibri" w:ascii="Calibri" w:hAnsi="Calibri" w:asciiTheme="minorHAnsi" w:cstheme="minorHAnsi" w:hAnsiTheme="minorHAnsi"/>
          <w:b/>
          <w:bCs/>
        </w:rPr>
        <w:t>15.01.2021</w:t>
      </w:r>
      <w:r>
        <w:rPr>
          <w:rFonts w:eastAsia="Times New Roman" w:cs="Calibri" w:ascii="Calibri" w:hAnsi="Calibri" w:asciiTheme="minorHAnsi" w:cstheme="minorHAnsi" w:hAnsiTheme="minorHAnsi"/>
          <w:b/>
        </w:rPr>
        <w:t xml:space="preserve"> </w:t>
      </w:r>
      <w:r>
        <w:rPr>
          <w:rFonts w:eastAsia="Times New Roman" w:cs="Calibri" w:ascii="Calibri" w:hAnsi="Calibri" w:asciiTheme="minorHAnsi" w:cstheme="minorHAnsi" w:hAnsiTheme="minorHAnsi"/>
          <w:bCs/>
        </w:rPr>
        <w:t xml:space="preserve">roku </w:t>
      </w:r>
      <w:r>
        <w:rPr>
          <w:rFonts w:eastAsia="Times New Roman" w:cs="Calibri" w:ascii="Calibri" w:hAnsi="Calibri" w:asciiTheme="minorHAnsi" w:cstheme="minorHAnsi" w:hAnsiTheme="minorHAnsi"/>
        </w:rPr>
        <w:t>o godzinie 10</w:t>
      </w:r>
      <w:r>
        <w:rPr>
          <w:rFonts w:eastAsia="Times New Roman" w:cs="Calibri" w:ascii="Calibri" w:hAnsi="Calibri" w:asciiTheme="minorHAnsi" w:cstheme="minorHAnsi" w:hAnsiTheme="minorHAnsi"/>
          <w:vertAlign w:val="superscript"/>
        </w:rPr>
        <w:t>00</w:t>
      </w:r>
      <w:r>
        <w:rPr>
          <w:rFonts w:eastAsia="Times New Roman" w:cs="Calibri" w:ascii="Calibri" w:hAnsi="Calibri" w:asciiTheme="minorHAnsi" w:cstheme="minorHAnsi" w:hAnsiTheme="minorHAnsi"/>
          <w:b/>
          <w:bCs/>
        </w:rPr>
        <w:t xml:space="preserve"> </w:t>
      </w:r>
      <w:r>
        <w:rPr>
          <w:rFonts w:eastAsia="Times New Roman" w:cs="Calibri" w:ascii="Calibri" w:hAnsi="Calibri" w:asciiTheme="minorHAnsi" w:cstheme="minorHAnsi" w:hAnsiTheme="minorHAnsi"/>
        </w:rPr>
        <w:t xml:space="preserve">w siedzibie Urzędu Gminy Nowa Ruda, ul. Niepodległości 2, pokój nr 15. </w:t>
      </w:r>
    </w:p>
    <w:p>
      <w:pPr>
        <w:pStyle w:val="Normal"/>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 xml:space="preserve">Warunkiem uczestnictwa w przetargu jest również wpłata wadium w podanej wysokości do dnia </w:t>
      </w:r>
      <w:r>
        <w:rPr>
          <w:rFonts w:eastAsia="Times New Roman" w:cs="Calibri" w:ascii="Calibri" w:hAnsi="Calibri" w:asciiTheme="minorHAnsi" w:cstheme="minorHAnsi" w:hAnsiTheme="minorHAnsi"/>
          <w:b/>
          <w:bCs/>
        </w:rPr>
        <w:t>11.01.2021roku</w:t>
      </w:r>
      <w:r>
        <w:rPr>
          <w:rFonts w:eastAsia="Times New Roman" w:cs="Calibri" w:ascii="Calibri" w:hAnsi="Calibri" w:asciiTheme="minorHAnsi" w:cstheme="minorHAnsi" w:hAnsiTheme="minorHAnsi"/>
        </w:rPr>
        <w:t xml:space="preserve"> w kasie Urzędu Gminy Nowa Ruda lub na rachunek Gminy Nowa Ruda: Gospodarczy Bank Spółdzielczy z/s w Nowej Rudzie Nr 62 9536 0001 3001 0006 7351 0005. Kasa Urzędu czynna jest codziennie w godzinach od 8.00 do 13.00.</w:t>
      </w:r>
    </w:p>
    <w:p>
      <w:pPr>
        <w:pStyle w:val="Normal"/>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 xml:space="preserve">Wadium może być wnoszone w pieniądzu, obligacjach Skarbu Państwa lub papierach wartościowych dopuszczonych do obrotu publicznego. W przypadku dokonywania wpłaty wadium w formie bezgotówkowej, tj. przelewem oraz za pomocą karty płatniczej w kasie Urzędu Gminy Nowa Ruda, datą dokonania wpłaty jest dzień uznania rachunku Gminy Nowa Ruda.  Wadium zwraca się niezwłocznie po odwołaniu albo zamknięciu przetargu, jednak nie później niż przed upływem 3 dni od dnia, odpowiednio: 1) odwołania przetargu, 2) zamknięcia przetargu, 3) unieważnienia przetargu, 4) zakończenia przetargu wynikiem negatywnym. </w:t>
      </w:r>
    </w:p>
    <w:p>
      <w:pPr>
        <w:pStyle w:val="Normal"/>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Wadium wniesione w  pieniądzu przez uczestnika przetargu, który wygrał przetarg, zalicza się na poczet ceny nabycia nieruchomości. Wadium wniesione w innej formie niż w pieniądzu, przez uczestnika, który wygrał przetarg, podlega zwrotowi niezwłocznie po wpłaceniu kwoty równej cenie nabycia nieruchomości. Przetarg jest ważny bez względu na liczbę uczestników przetargu, jeżeli przynajmniej jeden uczestnik zaoferował co najmniej jedno postąpienie powyżej ceny wywoławczej. O wysokości postąpienia decydują uczestnicy przetargu z tym, że postąpienie nie może wynosić mniej niż 1% ceny wywoławczej zaokrąglonej do pełnych dziesiątek złotych.</w:t>
      </w:r>
    </w:p>
    <w:p>
      <w:pPr>
        <w:pStyle w:val="Normal"/>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 xml:space="preserve">Przed otwarciem przetargu jego uczestnik winien przedłożyć komisji przetargowej dowód tożsamości. W przypadku, gdy uczestnikiem przetargu jest osoba prawna, osoba upoważniona do reprezentowania uczestnika powinna przedłożyć do wglądu aktualny, wystawiony nie później niż 6 m-cy przed dniem złożenia oświadczenia  wypis z Krajowego Rejestru Sądowego. Jeżeli uczestnik jest reprezentowany przez pełnomocnika, konieczne jest przedłożenie oryginału pełnomocnictwa. </w:t>
      </w:r>
    </w:p>
    <w:p>
      <w:pPr>
        <w:pStyle w:val="Normal"/>
        <w:spacing w:lineRule="auto" w:line="360"/>
        <w:rPr>
          <w:rFonts w:ascii="Calibri" w:hAnsi="Calibri" w:cs="Calibri" w:asciiTheme="minorHAnsi" w:cstheme="minorHAnsi" w:hAnsiTheme="minorHAnsi"/>
        </w:rPr>
      </w:pPr>
      <w:r>
        <w:rPr>
          <w:rFonts w:eastAsia="Times New Roman" w:cs="Calibri" w:ascii="Calibri" w:hAnsi="Calibri" w:asciiTheme="minorHAnsi" w:cstheme="minorHAnsi" w:hAnsiTheme="minorHAnsi"/>
        </w:rPr>
        <w:t>O terminie zawarcia umowy notarialnej nabywca zostanie zawiadomiony do 21 dni od dnia rozstrzygnięcia przetargu. Koszty umowy notarialnej ponosi nabywca. Jeżeli osoba ustalona jako nabywca nieruchomości nie stawi się bez usprawiedliwienia w miejscu i terminie podanym w zawiadomieniu, organizator przetargu może odstąpić od zawarcia umowy, a wpłacone wadium nie podlega zwrotowi.</w:t>
      </w:r>
      <w:r>
        <w:rPr>
          <w:rFonts w:cs="Calibri" w:ascii="Calibri" w:hAnsi="Calibri" w:asciiTheme="minorHAnsi" w:cstheme="minorHAnsi" w:hAnsiTheme="minorHAnsi"/>
        </w:rPr>
        <w:t xml:space="preserve"> </w:t>
      </w:r>
    </w:p>
    <w:p>
      <w:pPr>
        <w:pStyle w:val="Normal"/>
        <w:spacing w:lineRule="auto" w:line="360"/>
        <w:rPr>
          <w:rFonts w:ascii="Calibri" w:hAnsi="Calibri" w:cs="Calibri" w:asciiTheme="minorHAnsi" w:cstheme="minorHAnsi" w:hAnsiTheme="minorHAnsi"/>
        </w:rPr>
      </w:pPr>
      <w:r>
        <w:rPr>
          <w:rFonts w:cs="Calibri" w:ascii="Calibri" w:hAnsi="Calibri" w:asciiTheme="minorHAnsi" w:cstheme="minorHAnsi" w:hAnsiTheme="minorHAnsi"/>
        </w:rPr>
        <w:t>Nabywca zobowiązany będzie do złożenia oświadczenia w protokole z przetargu, że:</w:t>
      </w:r>
    </w:p>
    <w:p>
      <w:pPr>
        <w:pStyle w:val="Normal"/>
        <w:numPr>
          <w:ilvl w:val="0"/>
          <w:numId w:val="3"/>
        </w:numPr>
        <w:spacing w:lineRule="auto" w:line="360"/>
        <w:rPr>
          <w:rFonts w:ascii="Calibri" w:hAnsi="Calibri" w:cs="Calibri" w:asciiTheme="minorHAnsi" w:cstheme="minorHAnsi" w:hAnsiTheme="minorHAnsi"/>
        </w:rPr>
      </w:pPr>
      <w:r>
        <w:rPr>
          <w:rFonts w:cs="Calibri" w:ascii="Calibri" w:hAnsi="Calibri" w:asciiTheme="minorHAnsi" w:cstheme="minorHAnsi" w:hAnsiTheme="minorHAnsi"/>
        </w:rPr>
        <w:t>wiadomym jest mu fakt, iż sprzedaż przedmiotowej nieruchomości następuje na podstawie danych uwidocznionych w katastrze nieruchomości,</w:t>
      </w:r>
    </w:p>
    <w:p>
      <w:pPr>
        <w:pStyle w:val="Normal"/>
        <w:numPr>
          <w:ilvl w:val="0"/>
          <w:numId w:val="1"/>
        </w:numPr>
        <w:spacing w:lineRule="auto" w:line="360"/>
        <w:rPr>
          <w:rFonts w:ascii="Calibri" w:hAnsi="Calibri" w:cs="Calibri" w:asciiTheme="minorHAnsi" w:cstheme="minorHAnsi" w:hAnsiTheme="minorHAnsi"/>
        </w:rPr>
      </w:pPr>
      <w:r>
        <w:rPr>
          <w:rFonts w:cs="Calibri" w:ascii="Calibri" w:hAnsi="Calibri" w:asciiTheme="minorHAnsi" w:cstheme="minorHAnsi" w:hAnsiTheme="minorHAnsi"/>
        </w:rPr>
        <w:t>zapoznał się z przedmiotem przetargu i przyjmuje go bez zastrzeżeń,</w:t>
      </w:r>
    </w:p>
    <w:p>
      <w:pPr>
        <w:pStyle w:val="Normal"/>
        <w:numPr>
          <w:ilvl w:val="0"/>
          <w:numId w:val="1"/>
        </w:numPr>
        <w:spacing w:lineRule="auto" w:line="360"/>
        <w:rPr>
          <w:rFonts w:ascii="Calibri" w:hAnsi="Calibri" w:cs="Calibri" w:asciiTheme="minorHAnsi" w:cstheme="minorHAnsi" w:hAnsiTheme="minorHAnsi"/>
        </w:rPr>
      </w:pPr>
      <w:r>
        <w:rPr>
          <w:rFonts w:cs="Calibri" w:ascii="Calibri" w:hAnsi="Calibri" w:asciiTheme="minorHAnsi" w:cstheme="minorHAnsi" w:hAnsiTheme="minorHAnsi"/>
        </w:rPr>
        <w:t>wiadomym jest mu fakt, że okazanie granic nabywanej nieruchomości przez uprawnionego geodetę może nastąpić na wyłączne życzenie i koszt nabywcy,</w:t>
      </w:r>
    </w:p>
    <w:p>
      <w:pPr>
        <w:pStyle w:val="Normal"/>
        <w:numPr>
          <w:ilvl w:val="0"/>
          <w:numId w:val="1"/>
        </w:numPr>
        <w:spacing w:lineRule="auto" w:line="360"/>
        <w:rPr>
          <w:rFonts w:ascii="Calibri" w:hAnsi="Calibri" w:cs="Calibri" w:asciiTheme="minorHAnsi" w:cstheme="minorHAnsi" w:hAnsiTheme="minorHAnsi"/>
        </w:rPr>
      </w:pPr>
      <w:r>
        <w:rPr>
          <w:rFonts w:cs="Calibri" w:ascii="Calibri" w:hAnsi="Calibri" w:asciiTheme="minorHAnsi" w:cstheme="minorHAnsi" w:hAnsiTheme="minorHAnsi"/>
        </w:rPr>
        <w:t>nie będzie występować z żadnym roszczeniem wobec Gminy Nowa Ruda z tytułu ewentualnej różnicy w powierzchni sprzedawanej nieruchomości</w:t>
      </w:r>
    </w:p>
    <w:p>
      <w:pPr>
        <w:pStyle w:val="Normal"/>
        <w:numPr>
          <w:ilvl w:val="0"/>
          <w:numId w:val="1"/>
        </w:numPr>
        <w:spacing w:lineRule="auto" w:line="360"/>
        <w:rPr>
          <w:rFonts w:ascii="Calibri" w:hAnsi="Calibri" w:cs="Calibri" w:asciiTheme="minorHAnsi" w:cstheme="minorHAnsi" w:hAnsiTheme="minorHAnsi"/>
        </w:rPr>
      </w:pPr>
      <w:r>
        <w:rPr>
          <w:rFonts w:cs="Calibri" w:ascii="Calibri" w:hAnsi="Calibri" w:asciiTheme="minorHAnsi" w:cstheme="minorHAnsi" w:hAnsiTheme="minorHAnsi"/>
        </w:rPr>
        <w:t>nie wnosi jakichkolwiek zastrzeżeń co do wyglądu i stanu zagospodarowania przedmiotowej nieruchomości.</w:t>
      </w:r>
    </w:p>
    <w:p>
      <w:pPr>
        <w:pStyle w:val="Normal"/>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W/w oświadczenie nabywcy złożone zostanie również w umowie kupna-sprzedaży sporządzonej w formie aktu notarialnego</w:t>
      </w:r>
    </w:p>
    <w:p>
      <w:pPr>
        <w:pStyle w:val="Normal"/>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Szczegółowych informacji dotyczących przetargu udziela Referat Gospodarki Nieruchomościami i Geodezji Urzędu Gminy Nowa Ruda, ul. Niepodległości 2, p. nr 19,</w:t>
      </w:r>
    </w:p>
    <w:p>
      <w:pPr>
        <w:pStyle w:val="Normal"/>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 xml:space="preserve">tel. 74 872 0915 w godzinach pracy Urzędu. W referacie są do wglądu mapy ewidencyjne sprzedawanych nieruchomości. </w:t>
      </w:r>
    </w:p>
    <w:p>
      <w:pPr>
        <w:pStyle w:val="Normal"/>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Wójt Gminy Nowa Ruda może odwołać ogłoszony przetarg jedynie z ważnych powodów, informując o tym niezwłocznie w formie właściwej dla ogłoszenia o przetargu i podając przyczynę odwołania przetargu.</w:t>
      </w:r>
    </w:p>
    <w:p>
      <w:pPr>
        <w:pStyle w:val="Normal"/>
        <w:spacing w:lineRule="auto" w:line="360"/>
        <w:ind w:right="680" w:hanging="0"/>
        <w:rPr>
          <w:rFonts w:ascii="Calibri" w:hAnsi="Calibri" w:eastAsia="Times New Roman" w:cs="Calibri" w:asciiTheme="minorHAnsi" w:cstheme="minorHAnsi" w:hAnsiTheme="minorHAnsi"/>
          <w:lang w:eastAsia="ar-SA"/>
        </w:rPr>
      </w:pPr>
      <w:r>
        <w:rPr>
          <w:rFonts w:eastAsia="Times New Roman" w:cs="Calibri" w:ascii="Calibri" w:hAnsi="Calibri" w:asciiTheme="minorHAnsi" w:cstheme="minorHAnsi" w:hAnsiTheme="minorHAnsi"/>
        </w:rPr>
        <w:t xml:space="preserve">Ogłoszenie o przetargu dostępne jest na stronie internetowej </w:t>
      </w:r>
      <w:hyperlink r:id="rId2">
        <w:r>
          <w:rPr>
            <w:rStyle w:val="Czeinternetowe"/>
            <w:rFonts w:cs="Calibri" w:ascii="Calibri" w:hAnsi="Calibri" w:asciiTheme="minorHAnsi" w:cstheme="minorHAnsi" w:hAnsiTheme="minorHAnsi"/>
            <w:u w:val="none"/>
          </w:rPr>
          <w:t>www.bip.gmina.nowaruda.pl</w:t>
        </w:r>
      </w:hyperlink>
      <w:hyperlink r:id="rId3">
        <w:r>
          <w:rPr>
            <w:rStyle w:val="Czeinternetowe"/>
            <w:rFonts w:cs="Calibri" w:ascii="Calibri" w:hAnsi="Calibri" w:asciiTheme="minorHAnsi" w:cstheme="minorHAnsi" w:hAnsiTheme="minorHAnsi"/>
            <w:u w:val="none"/>
          </w:rPr>
          <w:t xml:space="preserve"> / zakładka Gospodarka, punkt Przetargi-Mienie Komunalne</w:t>
        </w:r>
      </w:hyperlink>
      <w:r>
        <w:rPr>
          <w:rFonts w:cs="Calibri" w:ascii="Calibri" w:hAnsi="Calibri" w:asciiTheme="minorHAnsi" w:cstheme="minorHAnsi" w:hAnsiTheme="minorHAnsi"/>
        </w:rPr>
        <w:t xml:space="preserve">, </w:t>
      </w:r>
      <w:hyperlink r:id="rId4">
        <w:r>
          <w:rPr>
            <w:rStyle w:val="Czeinternetowe"/>
            <w:rFonts w:cs="Calibri" w:ascii="Calibri" w:hAnsi="Calibri" w:asciiTheme="minorHAnsi" w:cstheme="minorHAnsi" w:hAnsiTheme="minorHAnsi"/>
            <w:u w:val="none"/>
          </w:rPr>
          <w:t>www.gazeta.otoprzetargi.pl</w:t>
        </w:r>
      </w:hyperlink>
      <w:r>
        <w:rPr>
          <w:rFonts w:cs="Calibri" w:ascii="Calibri" w:hAnsi="Calibri" w:asciiTheme="minorHAnsi" w:cstheme="minorHAnsi" w:hAnsiTheme="minorHAnsi"/>
        </w:rPr>
        <w:t xml:space="preserve">, </w:t>
      </w:r>
      <w:hyperlink r:id="rId5">
        <w:r>
          <w:rPr>
            <w:rStyle w:val="Czeinternetowe"/>
            <w:rFonts w:cs="Calibri" w:ascii="Calibri" w:hAnsi="Calibri" w:asciiTheme="minorHAnsi" w:cstheme="minorHAnsi" w:hAnsiTheme="minorHAnsi"/>
            <w:u w:val="none"/>
          </w:rPr>
          <w:t>www.gmina.nowaruda.pl</w:t>
        </w:r>
      </w:hyperlink>
      <w:r>
        <w:rPr>
          <w:rFonts w:cs="Calibri" w:ascii="Calibri" w:hAnsi="Calibri" w:asciiTheme="minorHAnsi" w:cstheme="minorHAnsi" w:hAnsiTheme="minorHAnsi"/>
        </w:rPr>
        <w:t xml:space="preserve"> </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 xml:space="preserve">Udział w postępowaniu przetargowym wiążę się z przetwarzaniem danych osobowych oferentów na zasadach określonych w Rozporządzeniu Parlamentu Europejskiego i Rady (UE) 2016/697 z dnia 27 kwietnia 2016 r. w sprawie ochrony osób fizycznych w związku </w:t>
      </w:r>
    </w:p>
    <w:p>
      <w:pPr>
        <w:pStyle w:val="Standard"/>
        <w:tabs>
          <w:tab w:val="clear" w:pos="708"/>
          <w:tab w:val="left" w:pos="7371" w:leader="none"/>
        </w:tabs>
        <w:spacing w:lineRule="auto" w:line="360"/>
        <w:rPr>
          <w:rFonts w:ascii="Calibri" w:hAnsi="Calibri" w:eastAsia="Times New Roman" w:cs="Calibri" w:asciiTheme="minorHAnsi" w:cstheme="minorHAnsi" w:hAnsiTheme="minorHAnsi"/>
        </w:rPr>
      </w:pPr>
      <w:r>
        <w:rPr>
          <w:rFonts w:eastAsia="Times New Roman" w:cs="Calibri" w:ascii="Calibri" w:hAnsi="Calibri" w:asciiTheme="minorHAnsi" w:cstheme="minorHAnsi" w:hAnsiTheme="minorHAnsi"/>
        </w:rPr>
        <w:t>z przetwarzaniem danych osobowych i w sprawie swobodnego przepływu takich danych oraz uchylenia dyrektywy 95/46/WE (ogólne rozporządzenie o ochronie danych) (Dz. U. UE. L 119 z 4.5.2016, str. 1-88) oraz w zakresie wynikającym z ustawy z dnia 21 sierpnia 1997 r.</w:t>
      </w:r>
    </w:p>
    <w:p>
      <w:pPr>
        <w:pStyle w:val="Standard"/>
        <w:tabs>
          <w:tab w:val="clear" w:pos="708"/>
          <w:tab w:val="left" w:pos="7371" w:leader="none"/>
        </w:tabs>
        <w:spacing w:lineRule="auto" w:line="360"/>
        <w:rPr>
          <w:rFonts w:ascii="Calibri" w:hAnsi="Calibri" w:cs="Calibri" w:asciiTheme="minorHAnsi" w:cstheme="minorHAnsi" w:hAnsiTheme="minorHAnsi"/>
          <w:b/>
          <w:b/>
          <w:bCs/>
        </w:rPr>
      </w:pPr>
      <w:r>
        <w:rPr>
          <w:rFonts w:eastAsia="Times New Roman" w:cs="Calibri" w:ascii="Calibri" w:hAnsi="Calibri" w:asciiTheme="minorHAnsi" w:cstheme="minorHAnsi" w:hAnsiTheme="minorHAnsi"/>
        </w:rPr>
        <w:t>o gospodarce nieruchomościami (</w:t>
      </w:r>
      <w:r>
        <w:rPr>
          <w:rFonts w:cs="Calibri" w:ascii="Calibri" w:hAnsi="Calibri" w:asciiTheme="minorHAnsi" w:cstheme="minorHAnsi" w:hAnsiTheme="minorHAnsi"/>
        </w:rPr>
        <w:t>t.j. Dz.U. z 2020r. poz. 1990)</w:t>
      </w:r>
      <w:r>
        <w:rPr>
          <w:rFonts w:eastAsia="Times New Roman" w:cs="Calibri" w:ascii="Calibri" w:hAnsi="Calibri" w:asciiTheme="minorHAnsi" w:cstheme="minorHAnsi" w:hAnsiTheme="minorHAnsi"/>
        </w:rPr>
        <w:t xml:space="preserve"> oraz rozporządzenia Rady Ministrów z dnia 14 września 2004 r. w sprawie sposobu i trybu przeprowadzania przetargów oraz rokowań na zbycie nieruchomości(tj. </w:t>
      </w:r>
      <w:r>
        <w:rPr>
          <w:rFonts w:cs="Calibri" w:ascii="Calibri" w:hAnsi="Calibri" w:asciiTheme="minorHAnsi" w:cstheme="minorHAnsi" w:hAnsiTheme="minorHAnsi"/>
        </w:rPr>
        <w:t xml:space="preserve">Dz.U. z 2014 r. poz. 1490). Więcej informacji o przetwarzaniu danych osobowych przez Gminę Nowa Ruda można uzyskać na stronie </w:t>
      </w:r>
      <w:hyperlink r:id="rId6">
        <w:r>
          <w:rPr>
            <w:rStyle w:val="Czeinternetowe"/>
            <w:rFonts w:cs="Calibri" w:ascii="Calibri" w:hAnsi="Calibri" w:asciiTheme="minorHAnsi" w:cstheme="minorHAnsi" w:hAnsiTheme="minorHAnsi"/>
            <w:u w:val="none"/>
          </w:rPr>
          <w:t>www.bip.gmina.nowaruda.pl</w:t>
        </w:r>
      </w:hyperlink>
      <w:r>
        <w:rPr>
          <w:rFonts w:cs="Calibri" w:ascii="Calibri" w:hAnsi="Calibri" w:asciiTheme="minorHAnsi" w:cstheme="minorHAnsi" w:hAnsiTheme="minorHAnsi"/>
        </w:rPr>
        <w:t xml:space="preserve"> w pliku pt. </w:t>
      </w:r>
      <w:r>
        <w:rPr>
          <w:rFonts w:cs="Calibri" w:ascii="Calibri" w:hAnsi="Calibri" w:asciiTheme="minorHAnsi" w:cstheme="minorHAnsi" w:hAnsiTheme="minorHAnsi"/>
          <w:b/>
          <w:bCs/>
        </w:rPr>
        <w:t>KLAUZULA INFORMACYJNA DO PRZETWARZANIA DANYCH OSOBOWYCH – RODO</w:t>
      </w:r>
    </w:p>
    <w:p>
      <w:pPr>
        <w:pStyle w:val="Standard"/>
        <w:tabs>
          <w:tab w:val="clear" w:pos="708"/>
          <w:tab w:val="left" w:pos="7371" w:leader="none"/>
        </w:tabs>
        <w:spacing w:lineRule="auto" w:line="360"/>
        <w:jc w:val="right"/>
        <w:rPr>
          <w:rFonts w:ascii="Calibri" w:hAnsi="Calibri" w:cs="Calibri" w:asciiTheme="minorHAnsi" w:cstheme="minorHAnsi" w:hAnsiTheme="minorHAnsi"/>
          <w:b/>
          <w:b/>
          <w:bCs/>
        </w:rPr>
      </w:pPr>
      <w:r>
        <w:rPr>
          <w:rFonts w:cs="Calibri" w:ascii="Calibri" w:hAnsi="Calibri" w:asciiTheme="minorHAnsi" w:cstheme="minorHAnsi" w:hAnsiTheme="minorHAnsi"/>
          <w:b/>
          <w:bCs/>
        </w:rPr>
        <w:t>/Adrianna Mierzejewska – Wójt Gminy Nowa Ruda/</w:t>
      </w:r>
      <w:bookmarkStart w:id="0" w:name="_Hlk58228444"/>
      <w:bookmarkEnd w:id="0"/>
    </w:p>
    <w:p>
      <w:pPr>
        <w:pStyle w:val="Standard"/>
        <w:tabs>
          <w:tab w:val="clear" w:pos="708"/>
          <w:tab w:val="left" w:pos="7371" w:leader="none"/>
        </w:tabs>
        <w:spacing w:lineRule="auto" w:line="360"/>
        <w:jc w:val="right"/>
        <w:rPr>
          <w:rFonts w:ascii="Calibri" w:hAnsi="Calibri" w:eastAsia="Times New Roman" w:cs="Calibri" w:asciiTheme="minorHAnsi" w:cstheme="minorHAnsi" w:hAnsiTheme="minorHAnsi"/>
        </w:rPr>
      </w:pPr>
      <w:r>
        <w:rPr/>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Liberation Sans">
    <w:altName w:val="Arial"/>
    <w:charset w:val="ee"/>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46e39"/>
    <w:pPr>
      <w:widowControl w:val="false"/>
      <w:suppressAutoHyphens w:val="true"/>
      <w:bidi w:val="0"/>
      <w:spacing w:lineRule="auto" w:line="240" w:before="0" w:after="0"/>
      <w:jc w:val="left"/>
    </w:pPr>
    <w:rPr>
      <w:rFonts w:ascii="Times New Roman" w:hAnsi="Times New Roman" w:eastAsia="Lucida Sans Unicode" w:cs="Times New Roman"/>
      <w:color w:val="auto"/>
      <w:kern w:val="0"/>
      <w:sz w:val="24"/>
      <w:szCs w:val="24"/>
      <w:lang w:val="pl-PL" w:eastAsia="en-US" w:bidi="ar-SA"/>
    </w:rPr>
  </w:style>
  <w:style w:type="character" w:styleId="DefaultParagraphFont" w:default="1">
    <w:name w:val="Default Paragraph Font"/>
    <w:uiPriority w:val="1"/>
    <w:semiHidden/>
    <w:unhideWhenUsed/>
    <w:qFormat/>
    <w:rPr/>
  </w:style>
  <w:style w:type="character" w:styleId="Czeinternetowe">
    <w:name w:val="Łącze internetowe"/>
    <w:semiHidden/>
    <w:unhideWhenUsed/>
    <w:rsid w:val="00b46e39"/>
    <w:rPr>
      <w:color w:val="000080"/>
      <w:u w:val="single"/>
    </w:rPr>
  </w:style>
  <w:style w:type="paragraph" w:styleId="Nagwek">
    <w:name w:val="Nagłówek"/>
    <w:basedOn w:val="Normal"/>
    <w:next w:val="Tretekstu"/>
    <w:qFormat/>
    <w:pPr>
      <w:keepNext w:val="true"/>
      <w:spacing w:before="240" w:after="120"/>
    </w:pPr>
    <w:rPr>
      <w:rFonts w:ascii="Liberation Sans" w:hAnsi="Liberation Sans" w:eastAsia="Microsoft YaHei" w:cs="Mangal"/>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ks">
    <w:name w:val="Indeks"/>
    <w:basedOn w:val="Normal"/>
    <w:qFormat/>
    <w:pPr>
      <w:suppressLineNumbers/>
    </w:pPr>
    <w:rPr>
      <w:rFonts w:cs="Mangal"/>
    </w:rPr>
  </w:style>
  <w:style w:type="paragraph" w:styleId="Standard" w:customStyle="1">
    <w:name w:val="Standard"/>
    <w:qFormat/>
    <w:rsid w:val="00b46e39"/>
    <w:pPr>
      <w:widowControl w:val="false"/>
      <w:suppressAutoHyphens w:val="true"/>
      <w:bidi w:val="0"/>
      <w:spacing w:lineRule="auto" w:line="240" w:before="0" w:after="0"/>
      <w:jc w:val="left"/>
    </w:pPr>
    <w:rPr>
      <w:rFonts w:ascii="Times New Roman" w:hAnsi="Times New Roman" w:eastAsia="Lucida Sans Unicode" w:cs="Mangal"/>
      <w:color w:val="auto"/>
      <w:kern w:val="2"/>
      <w:sz w:val="24"/>
      <w:szCs w:val="24"/>
      <w:lang w:eastAsia="zh-CN" w:bidi="hi-IN" w:val="pl-PL"/>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bip.gmina.nowaruda.pl/" TargetMode="External"/><Relationship Id="rId3" Type="http://schemas.openxmlformats.org/officeDocument/2006/relationships/hyperlink" Target="http://www.bip.gminanowaruda.pl/" TargetMode="External"/><Relationship Id="rId4" Type="http://schemas.openxmlformats.org/officeDocument/2006/relationships/hyperlink" Target="http://www.gazeta.otoprzetargi.pl/" TargetMode="External"/><Relationship Id="rId5" Type="http://schemas.openxmlformats.org/officeDocument/2006/relationships/hyperlink" Target="http://www.gmina.nowaruda.pl/" TargetMode="External"/><Relationship Id="rId6" Type="http://schemas.openxmlformats.org/officeDocument/2006/relationships/hyperlink" Target="http://www.bip.gmina.nowaruda.pl/"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Application>LibreOffice/7.0.1.2$Windows_X86_64 LibreOffice_project/7cbcfc562f6eb6708b5ff7d7397325de9e764452</Application>
  <Pages>5</Pages>
  <Words>1247</Words>
  <Characters>7672</Characters>
  <CharactersWithSpaces>8900</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2020-11-19T12:09:00Z</dcterms:created>
  <dc:creator>Ania</dc:creator>
  <dc:description/>
  <dc:language>pl-PL</dc:language>
  <cp:lastModifiedBy>Ania</cp:lastModifiedBy>
  <dcterms:modified xsi:type="dcterms:W3CDTF">2020-12-07T09:15:00Z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